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9122" w14:textId="5BD40138" w:rsidR="00B87DA9" w:rsidRDefault="008D4BDF" w:rsidP="00B87DA9">
      <w:pPr>
        <w:pStyle w:val="Heading2"/>
        <w:spacing w:before="0"/>
        <w:jc w:val="center"/>
      </w:pPr>
      <w:r>
        <w:t xml:space="preserve">Template </w:t>
      </w:r>
      <w:r w:rsidR="0064333C" w:rsidRPr="0064333C">
        <w:t xml:space="preserve">Terms of </w:t>
      </w:r>
      <w:r>
        <w:t>R</w:t>
      </w:r>
      <w:r w:rsidR="0064333C" w:rsidRPr="0064333C">
        <w:t>eference</w:t>
      </w:r>
    </w:p>
    <w:p w14:paraId="60F5C41C" w14:textId="528B85D1" w:rsidR="004C79D5" w:rsidRPr="004C79D5" w:rsidRDefault="00B87DA9" w:rsidP="00012DA5">
      <w:pPr>
        <w:pStyle w:val="Heading2"/>
        <w:spacing w:before="0"/>
        <w:jc w:val="both"/>
      </w:pPr>
      <w:r>
        <w:t>T</w:t>
      </w:r>
      <w:r w:rsidR="0064333C" w:rsidRPr="0064333C">
        <w:t xml:space="preserve">echnical </w:t>
      </w:r>
      <w:r>
        <w:t>W</w:t>
      </w:r>
      <w:r w:rsidR="0064333C" w:rsidRPr="0064333C">
        <w:t xml:space="preserve">orking </w:t>
      </w:r>
      <w:r>
        <w:t>G</w:t>
      </w:r>
      <w:r w:rsidR="0064333C" w:rsidRPr="0064333C">
        <w:t>roup</w:t>
      </w:r>
      <w:r w:rsidR="0064333C">
        <w:t xml:space="preserve"> </w:t>
      </w:r>
      <w:r w:rsidR="00C821E8">
        <w:t>for</w:t>
      </w:r>
      <w:r w:rsidR="0064333C" w:rsidRPr="0064333C">
        <w:t xml:space="preserve"> the statistical measurement of </w:t>
      </w:r>
      <w:r>
        <w:t>I</w:t>
      </w:r>
      <w:r w:rsidR="0064333C" w:rsidRPr="0064333C">
        <w:t xml:space="preserve">llicit </w:t>
      </w:r>
      <w:r>
        <w:t>F</w:t>
      </w:r>
      <w:r w:rsidR="0064333C" w:rsidRPr="0064333C">
        <w:t>inancial</w:t>
      </w:r>
      <w:r>
        <w:t xml:space="preserve"> F</w:t>
      </w:r>
      <w:r w:rsidR="0064333C" w:rsidRPr="0064333C">
        <w:t>lows</w:t>
      </w:r>
      <w:r w:rsidR="0064333C">
        <w:t xml:space="preserve"> </w:t>
      </w:r>
    </w:p>
    <w:p w14:paraId="058F2B58" w14:textId="4C9F2202" w:rsidR="004C79D5" w:rsidRDefault="004C79D5" w:rsidP="00012DA5">
      <w:pPr>
        <w:spacing w:after="0"/>
        <w:jc w:val="both"/>
        <w:rPr>
          <w:rFonts w:eastAsia="Times New Roman"/>
          <w:lang w:val="en-US"/>
        </w:rPr>
      </w:pPr>
    </w:p>
    <w:p w14:paraId="0FE874A8" w14:textId="77777777" w:rsidR="008D4BDF" w:rsidRDefault="008D4BDF" w:rsidP="00012DA5">
      <w:pPr>
        <w:spacing w:after="0"/>
        <w:jc w:val="both"/>
        <w:rPr>
          <w:rFonts w:eastAsia="Times New Roman"/>
          <w:lang w:val="en-US"/>
        </w:rPr>
      </w:pPr>
    </w:p>
    <w:p w14:paraId="2DF16F88" w14:textId="0033EEEB" w:rsidR="004C79D5" w:rsidRDefault="0064333C" w:rsidP="004F68FD">
      <w:pPr>
        <w:pStyle w:val="Heading3"/>
        <w:numPr>
          <w:ilvl w:val="0"/>
          <w:numId w:val="8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Introduction</w:t>
      </w:r>
    </w:p>
    <w:p w14:paraId="63614CB0" w14:textId="5F966ABC" w:rsidR="00DB42D1" w:rsidRDefault="00DB42D1" w:rsidP="00DB42D1">
      <w:pPr>
        <w:spacing w:after="0"/>
        <w:jc w:val="both"/>
        <w:rPr>
          <w:rFonts w:eastAsia="Times New Roman"/>
          <w:lang w:val="en-US"/>
        </w:rPr>
      </w:pPr>
    </w:p>
    <w:p w14:paraId="0FEA6310" w14:textId="2212F9F2" w:rsidR="00DB42D1" w:rsidRDefault="00441926" w:rsidP="00DB42D1">
      <w:pPr>
        <w:pStyle w:val="ListParagraph"/>
        <w:widowControl w:val="0"/>
        <w:numPr>
          <w:ilvl w:val="1"/>
          <w:numId w:val="7"/>
        </w:numPr>
        <w:spacing w:afterLines="120" w:after="288" w:line="240" w:lineRule="atLeast"/>
        <w:ind w:left="0" w:right="95" w:firstLine="0"/>
        <w:contextualSpacing w:val="0"/>
        <w:jc w:val="both"/>
        <w:rPr>
          <w:rFonts w:cstheme="minorHAnsi"/>
        </w:rPr>
      </w:pPr>
      <w:r w:rsidRPr="00BC5147">
        <w:t xml:space="preserve">Illicit financial flows (IFFs) threaten countries’ ability to achieve the 2030 Agenda and the Sustainable Development Goals (SDGs) by diverting resources from sustainable and inclusive development. </w:t>
      </w:r>
      <w:r w:rsidR="00774C49">
        <w:t xml:space="preserve">This is also the case in </w:t>
      </w:r>
      <w:r w:rsidR="00F740A7" w:rsidRPr="00F740A7">
        <w:t>[</w:t>
      </w:r>
      <w:r w:rsidR="00F740A7">
        <w:t>country name</w:t>
      </w:r>
      <w:r w:rsidR="00F740A7" w:rsidRPr="00F740A7">
        <w:t>]</w:t>
      </w:r>
      <w:r w:rsidR="00F740A7">
        <w:t>.</w:t>
      </w:r>
      <w:r w:rsidR="00F740A7" w:rsidRPr="00F740A7">
        <w:t xml:space="preserve"> </w:t>
      </w:r>
      <w:r w:rsidR="00DB42D1" w:rsidRPr="00E662A1">
        <w:rPr>
          <w:rFonts w:cstheme="minorHAnsi"/>
        </w:rPr>
        <w:t xml:space="preserve">These risks have been recognized in target 16.4 of the </w:t>
      </w:r>
      <w:r w:rsidR="00095846">
        <w:rPr>
          <w:rFonts w:cstheme="minorHAnsi"/>
        </w:rPr>
        <w:t xml:space="preserve">2030 Agenda </w:t>
      </w:r>
      <w:r w:rsidR="00DB42D1" w:rsidRPr="00E662A1">
        <w:rPr>
          <w:rFonts w:cstheme="minorHAnsi"/>
        </w:rPr>
        <w:t>that calls to, “by 2030, significantly reduce</w:t>
      </w:r>
      <w:r w:rsidR="00DB42D1">
        <w:rPr>
          <w:rFonts w:cstheme="minorHAnsi"/>
        </w:rPr>
        <w:t xml:space="preserve"> </w:t>
      </w:r>
      <w:r w:rsidR="00DB42D1" w:rsidRPr="00E662A1">
        <w:rPr>
          <w:rFonts w:cstheme="minorHAnsi"/>
        </w:rPr>
        <w:t>illicit financial flows and arms flow, strengthen the recovery and return of stolen assets and combat all</w:t>
      </w:r>
      <w:r w:rsidR="00DB42D1">
        <w:rPr>
          <w:rFonts w:cstheme="minorHAnsi"/>
        </w:rPr>
        <w:t xml:space="preserve"> </w:t>
      </w:r>
      <w:r w:rsidR="00DB42D1" w:rsidRPr="00E662A1">
        <w:rPr>
          <w:rFonts w:cstheme="minorHAnsi"/>
        </w:rPr>
        <w:t xml:space="preserve">forms of organised crime.” </w:t>
      </w:r>
      <w:r w:rsidR="003D3125" w:rsidRPr="0071538E">
        <w:t xml:space="preserve">In July 2017, the United Nations General Assembly adopted </w:t>
      </w:r>
      <w:r w:rsidR="00DA43C9">
        <w:t xml:space="preserve">an SDG </w:t>
      </w:r>
      <w:r w:rsidR="003D3125" w:rsidRPr="0071538E">
        <w:t xml:space="preserve">indicator framework </w:t>
      </w:r>
      <w:r w:rsidR="00DA43C9">
        <w:t xml:space="preserve">with </w:t>
      </w:r>
      <w:r w:rsidR="00162DDB" w:rsidRPr="00D43C26">
        <w:t xml:space="preserve">indicator 16.4.1 </w:t>
      </w:r>
      <w:r w:rsidR="00C24814">
        <w:t xml:space="preserve">intended </w:t>
      </w:r>
      <w:r w:rsidR="00162DDB" w:rsidRPr="00D43C26">
        <w:t>to measure the “</w:t>
      </w:r>
      <w:r w:rsidR="00162DDB" w:rsidRPr="00D43C26">
        <w:rPr>
          <w:i/>
          <w:iCs/>
        </w:rPr>
        <w:t>total value of inward and outward illicit financial flows</w:t>
      </w:r>
      <w:r w:rsidR="00162DDB" w:rsidRPr="00D43C26">
        <w:t xml:space="preserve">”. </w:t>
      </w:r>
      <w:r w:rsidR="00DB42D1" w:rsidRPr="00E662A1">
        <w:rPr>
          <w:rFonts w:cstheme="minorHAnsi"/>
        </w:rPr>
        <w:t xml:space="preserve">The Addis Ababa Action Agenda on financing for development </w:t>
      </w:r>
      <w:r w:rsidR="007C2D72">
        <w:rPr>
          <w:rFonts w:cstheme="minorHAnsi"/>
        </w:rPr>
        <w:t xml:space="preserve">similarly </w:t>
      </w:r>
      <w:r w:rsidR="00DB42D1" w:rsidRPr="00E662A1">
        <w:rPr>
          <w:rFonts w:cstheme="minorHAnsi"/>
        </w:rPr>
        <w:t>calls for</w:t>
      </w:r>
      <w:r w:rsidR="00DB42D1">
        <w:rPr>
          <w:rFonts w:cstheme="minorHAnsi"/>
        </w:rPr>
        <w:t xml:space="preserve"> </w:t>
      </w:r>
      <w:r w:rsidR="00DB42D1" w:rsidRPr="00E662A1">
        <w:rPr>
          <w:rFonts w:cstheme="minorHAnsi"/>
        </w:rPr>
        <w:t xml:space="preserve">a redoubling of efforts to substantially reduce IFFs by 2030. </w:t>
      </w:r>
    </w:p>
    <w:p w14:paraId="22B7DE63" w14:textId="77777777" w:rsidR="004A079D" w:rsidRDefault="008C3043" w:rsidP="00EE3024">
      <w:pPr>
        <w:pStyle w:val="ListParagraph"/>
        <w:widowControl w:val="0"/>
        <w:numPr>
          <w:ilvl w:val="1"/>
          <w:numId w:val="7"/>
        </w:numPr>
        <w:spacing w:afterLines="120" w:after="288" w:line="240" w:lineRule="atLeast"/>
        <w:ind w:left="0" w:right="95" w:firstLine="0"/>
        <w:contextualSpacing w:val="0"/>
        <w:jc w:val="both"/>
      </w:pPr>
      <w:r w:rsidRPr="00F740A7">
        <w:t>[</w:t>
      </w:r>
      <w:r w:rsidR="00523490">
        <w:t>C</w:t>
      </w:r>
      <w:r>
        <w:t>ountry name</w:t>
      </w:r>
      <w:r w:rsidRPr="00F740A7">
        <w:t>]</w:t>
      </w:r>
      <w:r>
        <w:t xml:space="preserve"> </w:t>
      </w:r>
      <w:r w:rsidR="00896CFD">
        <w:t xml:space="preserve">is exposed </w:t>
      </w:r>
      <w:r w:rsidR="00523490">
        <w:t xml:space="preserve">mainly </w:t>
      </w:r>
      <w:r w:rsidR="00896CFD">
        <w:t xml:space="preserve">to </w:t>
      </w:r>
      <w:r w:rsidR="00523490" w:rsidRPr="00F740A7">
        <w:t>[</w:t>
      </w:r>
      <w:r w:rsidR="00EF7406">
        <w:t xml:space="preserve">tax and commercial </w:t>
      </w:r>
      <w:r w:rsidR="00896CFD">
        <w:t>IFFs</w:t>
      </w:r>
      <w:r w:rsidR="0089177A">
        <w:t>,</w:t>
      </w:r>
      <w:r w:rsidR="00896CFD">
        <w:t xml:space="preserve"> </w:t>
      </w:r>
      <w:r w:rsidR="0089177A">
        <w:t xml:space="preserve">such as </w:t>
      </w:r>
      <w:r w:rsidR="00BD58B1">
        <w:t>tax evasion</w:t>
      </w:r>
      <w:r w:rsidR="00644ACD">
        <w:t>, trade mispricing</w:t>
      </w:r>
      <w:r w:rsidR="00BD58B1">
        <w:t>,</w:t>
      </w:r>
      <w:r w:rsidR="00644ACD">
        <w:t xml:space="preserve"> MNE profit shifting</w:t>
      </w:r>
      <w:r w:rsidR="00BD58B1">
        <w:t xml:space="preserve">, </w:t>
      </w:r>
      <w:r w:rsidR="0089177A">
        <w:t xml:space="preserve">and IFFs from theft and </w:t>
      </w:r>
      <w:r w:rsidR="006E0220">
        <w:t xml:space="preserve">exploitation-type activities, </w:t>
      </w:r>
      <w:r w:rsidR="00EF7406">
        <w:t xml:space="preserve">illegal </w:t>
      </w:r>
      <w:proofErr w:type="gramStart"/>
      <w:r w:rsidR="00EF7406">
        <w:t>markets</w:t>
      </w:r>
      <w:proofErr w:type="gramEnd"/>
      <w:r w:rsidR="00EF7406">
        <w:t xml:space="preserve"> and corruption</w:t>
      </w:r>
      <w:r w:rsidR="00523490" w:rsidRPr="00F740A7">
        <w:t>]</w:t>
      </w:r>
      <w:r w:rsidR="00EF7406">
        <w:t>.</w:t>
      </w:r>
      <w:r w:rsidR="00644ACD">
        <w:t xml:space="preserve"> </w:t>
      </w:r>
      <w:r w:rsidR="008D7B44" w:rsidRPr="00F740A7">
        <w:t>[</w:t>
      </w:r>
      <w:r w:rsidR="008D7B44">
        <w:t>Describe briefly key national initiatives and mechanisms to curb IFFs.</w:t>
      </w:r>
      <w:r w:rsidR="008D7B44" w:rsidRPr="00F740A7">
        <w:t>]</w:t>
      </w:r>
      <w:r w:rsidR="008D7B44">
        <w:t xml:space="preserve"> </w:t>
      </w:r>
    </w:p>
    <w:p w14:paraId="0446D241" w14:textId="096BCE48" w:rsidR="0063236F" w:rsidRPr="00D43C26" w:rsidRDefault="00246604" w:rsidP="00B1326C">
      <w:pPr>
        <w:pStyle w:val="ListParagraph"/>
        <w:widowControl w:val="0"/>
        <w:numPr>
          <w:ilvl w:val="1"/>
          <w:numId w:val="7"/>
        </w:numPr>
        <w:spacing w:afterLines="120" w:after="288" w:line="240" w:lineRule="atLeast"/>
        <w:ind w:left="0" w:right="95" w:firstLine="0"/>
        <w:contextualSpacing w:val="0"/>
        <w:jc w:val="both"/>
      </w:pPr>
      <w:r>
        <w:t xml:space="preserve">IFFs need to be measured to understand the related flows, </w:t>
      </w:r>
      <w:proofErr w:type="gramStart"/>
      <w:r>
        <w:t>destinations</w:t>
      </w:r>
      <w:proofErr w:type="gramEnd"/>
      <w:r>
        <w:t xml:space="preserve"> and motivations, and to </w:t>
      </w:r>
      <w:r w:rsidR="004A079D">
        <w:t xml:space="preserve">design and implement effective measures </w:t>
      </w:r>
      <w:r>
        <w:t xml:space="preserve">to curb IFFs. </w:t>
      </w:r>
      <w:r w:rsidR="006C6DA9" w:rsidRPr="00D43C26">
        <w:t xml:space="preserve">IFFs are also influence gross domestic product (GDP) and other key statistics </w:t>
      </w:r>
      <w:r w:rsidR="00AD3697">
        <w:t xml:space="preserve">giving </w:t>
      </w:r>
      <w:r w:rsidR="006C6DA9" w:rsidRPr="00D43C26">
        <w:t xml:space="preserve">rise to mismeasurement or </w:t>
      </w:r>
      <w:r w:rsidR="00AD3697">
        <w:t>mis</w:t>
      </w:r>
      <w:r w:rsidR="006C6DA9" w:rsidRPr="00D43C26">
        <w:t xml:space="preserve">interpretation of economic development. </w:t>
      </w:r>
      <w:r w:rsidR="00DD3956">
        <w:t>UNCTAD and UNODC</w:t>
      </w:r>
      <w:r w:rsidR="00D743F0">
        <w:t>, as custodians of indicator 16.4.1,</w:t>
      </w:r>
      <w:r w:rsidR="00DD3956">
        <w:t xml:space="preserve"> have developed </w:t>
      </w:r>
      <w:r w:rsidR="0063236F" w:rsidRPr="0063236F">
        <w:t xml:space="preserve">Methodological Guidelines to </w:t>
      </w:r>
      <w:r w:rsidR="00DD3956">
        <w:t>measure different types of IFFs</w:t>
      </w:r>
      <w:r w:rsidR="00B1326C">
        <w:t>.</w:t>
      </w:r>
      <w:r w:rsidR="0063236F">
        <w:t xml:space="preserve"> </w:t>
      </w:r>
      <w:r w:rsidR="00B1326C">
        <w:t xml:space="preserve">These are </w:t>
      </w:r>
      <w:r w:rsidR="0063236F" w:rsidRPr="0063236F">
        <w:t xml:space="preserve">aimed at statistical and other national authorities with a mandate to collect and access relevant </w:t>
      </w:r>
      <w:r w:rsidR="00B1326C">
        <w:t>data</w:t>
      </w:r>
      <w:r w:rsidR="0063236F" w:rsidRPr="0063236F">
        <w:t xml:space="preserve">. </w:t>
      </w:r>
      <w:r w:rsidR="00C358D3" w:rsidRPr="00F740A7">
        <w:t>[</w:t>
      </w:r>
      <w:r w:rsidR="00C358D3">
        <w:t>Country name</w:t>
      </w:r>
      <w:r w:rsidR="00C358D3" w:rsidRPr="00F740A7">
        <w:t>]</w:t>
      </w:r>
      <w:r w:rsidR="00C358D3">
        <w:t xml:space="preserve"> </w:t>
      </w:r>
      <w:r w:rsidR="00C358D3">
        <w:t xml:space="preserve">is involved in the pilot testing of these methods </w:t>
      </w:r>
      <w:r w:rsidR="00A640B2">
        <w:t xml:space="preserve">under </w:t>
      </w:r>
      <w:r w:rsidR="00C358D3">
        <w:t xml:space="preserve">the </w:t>
      </w:r>
      <w:r w:rsidR="00A640B2">
        <w:t xml:space="preserve">guidance and capacity building provided by the </w:t>
      </w:r>
      <w:r w:rsidR="00C358D3">
        <w:t xml:space="preserve">UNECA/UNCTAD/UNODC project on </w:t>
      </w:r>
      <w:r w:rsidR="00BC6445" w:rsidRPr="00BC6445">
        <w:rPr>
          <w:i/>
          <w:iCs/>
        </w:rPr>
        <w:t xml:space="preserve">Defining, </w:t>
      </w:r>
      <w:proofErr w:type="gramStart"/>
      <w:r w:rsidR="00BC6445" w:rsidRPr="00BC6445">
        <w:rPr>
          <w:i/>
          <w:iCs/>
        </w:rPr>
        <w:t>estimating</w:t>
      </w:r>
      <w:proofErr w:type="gramEnd"/>
      <w:r w:rsidR="00BC6445" w:rsidRPr="00BC6445">
        <w:rPr>
          <w:i/>
          <w:iCs/>
        </w:rPr>
        <w:t xml:space="preserve"> and disseminating statistics on </w:t>
      </w:r>
      <w:r w:rsidR="00BC6445" w:rsidRPr="00BC6445">
        <w:rPr>
          <w:i/>
          <w:iCs/>
        </w:rPr>
        <w:t xml:space="preserve">IFFs </w:t>
      </w:r>
      <w:r w:rsidR="00BC6445" w:rsidRPr="00BC6445">
        <w:rPr>
          <w:i/>
          <w:iCs/>
        </w:rPr>
        <w:t>in Africa</w:t>
      </w:r>
      <w:r w:rsidR="00BC6445">
        <w:t>.</w:t>
      </w:r>
      <w:r w:rsidR="00BC6445" w:rsidRPr="00BC6445">
        <w:t xml:space="preserve"> </w:t>
      </w:r>
    </w:p>
    <w:p w14:paraId="03F5709F" w14:textId="32D92163" w:rsidR="00430B44" w:rsidRDefault="00CF5325" w:rsidP="0063236F">
      <w:pPr>
        <w:pStyle w:val="ListParagraph"/>
        <w:widowControl w:val="0"/>
        <w:numPr>
          <w:ilvl w:val="1"/>
          <w:numId w:val="7"/>
        </w:numPr>
        <w:spacing w:afterLines="120" w:after="288" w:line="240" w:lineRule="atLeast"/>
        <w:ind w:left="0" w:right="95" w:firstLine="0"/>
        <w:contextualSpacing w:val="0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IFFs leave very little traces in official records and these data are scattered across </w:t>
      </w:r>
      <w:r w:rsidR="000C543D">
        <w:rPr>
          <w:rFonts w:eastAsia="Times New Roman"/>
          <w:lang w:val="en-US"/>
        </w:rPr>
        <w:t xml:space="preserve">data held by </w:t>
      </w:r>
      <w:r>
        <w:rPr>
          <w:rFonts w:eastAsia="Times New Roman"/>
          <w:lang w:val="en-US"/>
        </w:rPr>
        <w:t>national authorities and other</w:t>
      </w:r>
      <w:r w:rsidR="0099160C">
        <w:rPr>
          <w:rFonts w:eastAsia="Times New Roman"/>
          <w:lang w:val="en-US"/>
        </w:rPr>
        <w:t xml:space="preserve"> sources</w:t>
      </w:r>
      <w:r>
        <w:rPr>
          <w:rFonts w:eastAsia="Times New Roman"/>
          <w:lang w:val="en-US"/>
        </w:rPr>
        <w:t xml:space="preserve">. </w:t>
      </w:r>
      <w:r w:rsidR="00430B44" w:rsidRPr="00D43C26">
        <w:t xml:space="preserve">Measurement of the many types of IFFs in one indicator </w:t>
      </w:r>
      <w:r w:rsidR="0099160C">
        <w:t xml:space="preserve">requires </w:t>
      </w:r>
      <w:r w:rsidR="00430B44" w:rsidRPr="00D43C26">
        <w:t xml:space="preserve">close collaboration within the national statistical system (NSS) and with administrative </w:t>
      </w:r>
      <w:r w:rsidR="00D01F8A">
        <w:t xml:space="preserve">and private </w:t>
      </w:r>
      <w:r w:rsidR="00430B44" w:rsidRPr="00D43C26">
        <w:t xml:space="preserve">data </w:t>
      </w:r>
      <w:r w:rsidR="00D01F8A">
        <w:t>holders</w:t>
      </w:r>
      <w:r w:rsidR="00430B44" w:rsidRPr="00D43C26">
        <w:t>, in coordination by the NSO. The compilation of SDG indicator 16.4.1 is a technical, statistical activity that must be carried out independently in line with the Fundamental Principles of Official Statistics</w:t>
      </w:r>
      <w:r w:rsidR="00C57A9E">
        <w:rPr>
          <w:rStyle w:val="FootnoteReference"/>
        </w:rPr>
        <w:footnoteReference w:id="1"/>
      </w:r>
      <w:r w:rsidR="00430B44" w:rsidRPr="00D43C26">
        <w:t>.</w:t>
      </w:r>
    </w:p>
    <w:p w14:paraId="0BB51C83" w14:textId="1B638564" w:rsidR="006C6DA9" w:rsidRPr="008C6213" w:rsidRDefault="00D01F8A" w:rsidP="001B67C7">
      <w:pPr>
        <w:pStyle w:val="ListParagraph"/>
        <w:widowControl w:val="0"/>
        <w:numPr>
          <w:ilvl w:val="1"/>
          <w:numId w:val="7"/>
        </w:numPr>
        <w:spacing w:afterLines="120" w:after="288" w:line="240" w:lineRule="atLeast"/>
        <w:ind w:left="0" w:right="95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t>In view of these developments, a</w:t>
      </w:r>
      <w:r w:rsidR="006C6DA9" w:rsidRPr="00430B44">
        <w:rPr>
          <w:rFonts w:cstheme="minorHAnsi"/>
        </w:rPr>
        <w:t xml:space="preserve"> Technical Working Group </w:t>
      </w:r>
      <w:r w:rsidR="00C821E8" w:rsidRPr="00430B44">
        <w:rPr>
          <w:rFonts w:cstheme="minorHAnsi"/>
        </w:rPr>
        <w:t xml:space="preserve">for the statistical measurement of illicit financial flows </w:t>
      </w:r>
      <w:r w:rsidR="006C6DA9" w:rsidRPr="00430B44">
        <w:rPr>
          <w:rFonts w:cstheme="minorHAnsi"/>
        </w:rPr>
        <w:t>(TWG-IFFs)</w:t>
      </w:r>
      <w:r w:rsidR="009E75BA">
        <w:rPr>
          <w:rFonts w:cstheme="minorHAnsi"/>
        </w:rPr>
        <w:t>,</w:t>
      </w:r>
      <w:r w:rsidR="006C6DA9" w:rsidRPr="00430B44">
        <w:rPr>
          <w:rFonts w:cstheme="minorHAnsi"/>
        </w:rPr>
        <w:t xml:space="preserve"> composed of statisticians </w:t>
      </w:r>
      <w:r w:rsidR="0063236F" w:rsidRPr="00430B44">
        <w:rPr>
          <w:rFonts w:cstheme="minorHAnsi"/>
        </w:rPr>
        <w:t>and other national experts</w:t>
      </w:r>
      <w:r w:rsidR="008C6213" w:rsidRPr="00430B44">
        <w:rPr>
          <w:rFonts w:cstheme="minorHAnsi"/>
        </w:rPr>
        <w:t xml:space="preserve"> </w:t>
      </w:r>
      <w:r w:rsidR="006C6DA9" w:rsidRPr="00430B44">
        <w:rPr>
          <w:rFonts w:cstheme="minorHAnsi"/>
        </w:rPr>
        <w:t>will be established</w:t>
      </w:r>
      <w:r w:rsidR="00F23104">
        <w:rPr>
          <w:rFonts w:cstheme="minorHAnsi"/>
        </w:rPr>
        <w:t>.</w:t>
      </w:r>
      <w:r w:rsidR="006C6DA9" w:rsidRPr="00430B44">
        <w:rPr>
          <w:rFonts w:cstheme="minorHAnsi"/>
        </w:rPr>
        <w:t xml:space="preserve"> </w:t>
      </w:r>
      <w:r w:rsidR="002A47C9" w:rsidRPr="00C3349A">
        <w:rPr>
          <w:rFonts w:cstheme="minorHAnsi"/>
        </w:rPr>
        <w:t>[</w:t>
      </w:r>
      <w:r w:rsidR="001B67C7">
        <w:rPr>
          <w:rFonts w:cstheme="minorHAnsi"/>
        </w:rPr>
        <w:t xml:space="preserve">Describe any country-specific modalities of work, e.g., which agency provides the secretariat and </w:t>
      </w:r>
      <w:r w:rsidR="004F180F">
        <w:rPr>
          <w:rFonts w:cstheme="minorHAnsi"/>
        </w:rPr>
        <w:t>how the findings of TWG-IFFs will be disseminated or discussed in the country</w:t>
      </w:r>
      <w:r w:rsidR="00BD4F61" w:rsidRPr="00C3349A">
        <w:rPr>
          <w:rFonts w:cstheme="minorHAnsi"/>
        </w:rPr>
        <w:t>]</w:t>
      </w:r>
    </w:p>
    <w:p w14:paraId="45C60436" w14:textId="3CEA1E93" w:rsidR="00A83C17" w:rsidRDefault="00A83C17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br w:type="page"/>
      </w:r>
    </w:p>
    <w:p w14:paraId="28F03795" w14:textId="55D48B8B" w:rsidR="0064333C" w:rsidRDefault="0064333C" w:rsidP="004F68FD">
      <w:pPr>
        <w:pStyle w:val="Heading3"/>
        <w:numPr>
          <w:ilvl w:val="0"/>
          <w:numId w:val="8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lastRenderedPageBreak/>
        <w:t>Objective</w:t>
      </w:r>
    </w:p>
    <w:p w14:paraId="55FA2C49" w14:textId="682DC056" w:rsidR="006C6DA9" w:rsidRDefault="006C6DA9" w:rsidP="006C6DA9">
      <w:pPr>
        <w:rPr>
          <w:lang w:val="en-US"/>
        </w:rPr>
      </w:pPr>
    </w:p>
    <w:p w14:paraId="695829BA" w14:textId="6354CD95" w:rsidR="001157C4" w:rsidRDefault="004900E8" w:rsidP="001157C4">
      <w:pPr>
        <w:pStyle w:val="ListParagraph"/>
        <w:widowControl w:val="0"/>
        <w:numPr>
          <w:ilvl w:val="1"/>
          <w:numId w:val="7"/>
        </w:numPr>
        <w:spacing w:afterLines="120" w:after="288" w:line="240" w:lineRule="atLeast"/>
        <w:ind w:left="0" w:right="95" w:firstLine="0"/>
        <w:contextualSpacing w:val="0"/>
        <w:jc w:val="both"/>
        <w:rPr>
          <w:rFonts w:cstheme="minorHAnsi"/>
        </w:rPr>
      </w:pPr>
      <w:r w:rsidRPr="008C6213">
        <w:rPr>
          <w:rFonts w:cstheme="minorHAnsi"/>
        </w:rPr>
        <w:t xml:space="preserve">The </w:t>
      </w:r>
      <w:r>
        <w:rPr>
          <w:rFonts w:cstheme="minorHAnsi"/>
        </w:rPr>
        <w:t>objective</w:t>
      </w:r>
      <w:r w:rsidRPr="008C6213">
        <w:rPr>
          <w:rFonts w:cstheme="minorHAnsi"/>
        </w:rPr>
        <w:t xml:space="preserve"> of the </w:t>
      </w:r>
      <w:r>
        <w:rPr>
          <w:rFonts w:cstheme="minorHAnsi"/>
        </w:rPr>
        <w:t xml:space="preserve">TWG-IFFs is to </w:t>
      </w:r>
      <w:r w:rsidR="00465D6E">
        <w:rPr>
          <w:rFonts w:cstheme="minorHAnsi"/>
        </w:rPr>
        <w:t xml:space="preserve">establish the foundations for </w:t>
      </w:r>
      <w:r w:rsidR="00A757A9">
        <w:rPr>
          <w:rFonts w:cstheme="minorHAnsi"/>
        </w:rPr>
        <w:t xml:space="preserve">the </w:t>
      </w:r>
      <w:r w:rsidR="001157C4">
        <w:rPr>
          <w:rFonts w:cstheme="minorHAnsi"/>
        </w:rPr>
        <w:t xml:space="preserve">statistical measurement of IFFs </w:t>
      </w:r>
      <w:r w:rsidR="00964331">
        <w:rPr>
          <w:rFonts w:cstheme="minorHAnsi"/>
        </w:rPr>
        <w:t xml:space="preserve">in </w:t>
      </w:r>
      <w:r w:rsidR="00964331" w:rsidRPr="00F740A7">
        <w:t>[</w:t>
      </w:r>
      <w:r w:rsidR="00964331">
        <w:t>country name</w:t>
      </w:r>
      <w:r w:rsidR="00964331" w:rsidRPr="00F740A7">
        <w:t>]</w:t>
      </w:r>
      <w:r w:rsidR="00964331">
        <w:t xml:space="preserve"> </w:t>
      </w:r>
      <w:r w:rsidR="009C0739">
        <w:rPr>
          <w:rFonts w:cstheme="minorHAnsi"/>
        </w:rPr>
        <w:t>in line with international standards and methods</w:t>
      </w:r>
      <w:r w:rsidR="009E061F">
        <w:rPr>
          <w:rFonts w:cstheme="minorHAnsi"/>
        </w:rPr>
        <w:t xml:space="preserve"> for the reporting on </w:t>
      </w:r>
      <w:r w:rsidR="00283158">
        <w:rPr>
          <w:rFonts w:cstheme="minorHAnsi"/>
        </w:rPr>
        <w:t>the 2030 Agenda</w:t>
      </w:r>
      <w:r w:rsidR="00896718">
        <w:rPr>
          <w:rFonts w:cstheme="minorHAnsi"/>
        </w:rPr>
        <w:t>, as follows</w:t>
      </w:r>
      <w:r w:rsidR="001157C4">
        <w:rPr>
          <w:rFonts w:cstheme="minorHAnsi"/>
        </w:rPr>
        <w:t xml:space="preserve">: </w:t>
      </w:r>
    </w:p>
    <w:p w14:paraId="1AA46377" w14:textId="2F020D1A" w:rsidR="004900E8" w:rsidRDefault="00A6479E" w:rsidP="001157C4">
      <w:pPr>
        <w:pStyle w:val="ListParagraph"/>
        <w:numPr>
          <w:ilvl w:val="2"/>
          <w:numId w:val="7"/>
        </w:numPr>
        <w:spacing w:after="0"/>
        <w:ind w:left="1202" w:hanging="465"/>
        <w:jc w:val="both"/>
        <w:rPr>
          <w:rFonts w:cstheme="minorHAnsi"/>
        </w:rPr>
      </w:pPr>
      <w:r>
        <w:rPr>
          <w:rFonts w:cstheme="minorHAnsi"/>
        </w:rPr>
        <w:t xml:space="preserve">Provide a platform for </w:t>
      </w:r>
      <w:r w:rsidR="001157C4">
        <w:rPr>
          <w:rFonts w:cstheme="minorHAnsi"/>
        </w:rPr>
        <w:t xml:space="preserve">collaboration among </w:t>
      </w:r>
      <w:r w:rsidR="00CF17E8">
        <w:rPr>
          <w:rFonts w:cstheme="minorHAnsi"/>
        </w:rPr>
        <w:t xml:space="preserve">national authorities </w:t>
      </w:r>
      <w:r w:rsidR="001157C4">
        <w:rPr>
          <w:rFonts w:cstheme="minorHAnsi"/>
        </w:rPr>
        <w:t xml:space="preserve">and </w:t>
      </w:r>
      <w:r w:rsidR="00CF17E8">
        <w:rPr>
          <w:rFonts w:cstheme="minorHAnsi"/>
        </w:rPr>
        <w:t xml:space="preserve">promote consultation with </w:t>
      </w:r>
      <w:proofErr w:type="gramStart"/>
      <w:r w:rsidR="001157C4">
        <w:rPr>
          <w:rFonts w:cstheme="minorHAnsi"/>
        </w:rPr>
        <w:t>stakeholders;</w:t>
      </w:r>
      <w:proofErr w:type="gramEnd"/>
    </w:p>
    <w:p w14:paraId="5DCAB15A" w14:textId="4AB7C644" w:rsidR="001157C4" w:rsidRDefault="00C220E7" w:rsidP="001157C4">
      <w:pPr>
        <w:pStyle w:val="ListParagraph"/>
        <w:numPr>
          <w:ilvl w:val="2"/>
          <w:numId w:val="7"/>
        </w:numPr>
        <w:spacing w:after="0"/>
        <w:ind w:left="1202" w:hanging="465"/>
        <w:jc w:val="both"/>
        <w:rPr>
          <w:rFonts w:cstheme="minorHAnsi"/>
        </w:rPr>
      </w:pPr>
      <w:r>
        <w:t>B</w:t>
      </w:r>
      <w:r w:rsidRPr="00EE316D">
        <w:t xml:space="preserve">uild </w:t>
      </w:r>
      <w:r>
        <w:t xml:space="preserve">a </w:t>
      </w:r>
      <w:r w:rsidRPr="00EE316D">
        <w:t xml:space="preserve">data infrastructure for the national monitoring of </w:t>
      </w:r>
      <w:r w:rsidR="00CD430F">
        <w:t xml:space="preserve">IFFs in the context of </w:t>
      </w:r>
      <w:r w:rsidRPr="00EE316D">
        <w:t xml:space="preserve">the 2030 </w:t>
      </w:r>
      <w:proofErr w:type="gramStart"/>
      <w:r w:rsidRPr="00EE316D">
        <w:t>Agenda</w:t>
      </w:r>
      <w:r w:rsidR="001157C4">
        <w:rPr>
          <w:rFonts w:cstheme="minorHAnsi"/>
        </w:rPr>
        <w:t>;</w:t>
      </w:r>
      <w:proofErr w:type="gramEnd"/>
      <w:r w:rsidR="001157C4">
        <w:rPr>
          <w:rFonts w:cstheme="minorHAnsi"/>
        </w:rPr>
        <w:t xml:space="preserve"> and</w:t>
      </w:r>
    </w:p>
    <w:p w14:paraId="0B300AF3" w14:textId="66FA3476" w:rsidR="006A31F9" w:rsidRDefault="003F4144" w:rsidP="009E0BA2">
      <w:pPr>
        <w:pStyle w:val="ListParagraph"/>
        <w:numPr>
          <w:ilvl w:val="2"/>
          <w:numId w:val="7"/>
        </w:numPr>
        <w:spacing w:after="0"/>
        <w:ind w:left="1202" w:hanging="465"/>
        <w:jc w:val="both"/>
        <w:rPr>
          <w:rFonts w:cstheme="minorHAnsi"/>
        </w:rPr>
      </w:pPr>
      <w:r>
        <w:t xml:space="preserve">Strengthen </w:t>
      </w:r>
      <w:r w:rsidRPr="00EE316D">
        <w:t xml:space="preserve">the capacity </w:t>
      </w:r>
      <w:r>
        <w:t xml:space="preserve">of </w:t>
      </w:r>
      <w:r w:rsidR="00945C21">
        <w:t xml:space="preserve">national authorities </w:t>
      </w:r>
      <w:r w:rsidRPr="00EE316D">
        <w:t xml:space="preserve">to </w:t>
      </w:r>
      <w:r w:rsidR="00BE3859">
        <w:t xml:space="preserve">measure and </w:t>
      </w:r>
      <w:r w:rsidRPr="00EE316D">
        <w:t>monitor IFFs</w:t>
      </w:r>
      <w:r w:rsidR="00BE3859">
        <w:t>, in a coordinated effort,</w:t>
      </w:r>
      <w:r w:rsidRPr="00EE316D">
        <w:t xml:space="preserve"> in support of the national policy to curb IFFs</w:t>
      </w:r>
      <w:r w:rsidR="00BE3859">
        <w:rPr>
          <w:rFonts w:cstheme="minorHAnsi"/>
        </w:rPr>
        <w:t>.</w:t>
      </w:r>
    </w:p>
    <w:p w14:paraId="27BB7F71" w14:textId="77777777" w:rsidR="009E0BA2" w:rsidRPr="009E0BA2" w:rsidRDefault="009E0BA2" w:rsidP="009E0BA2">
      <w:pPr>
        <w:pStyle w:val="ListParagraph"/>
        <w:spacing w:after="0"/>
        <w:ind w:left="1202"/>
        <w:jc w:val="both"/>
        <w:rPr>
          <w:rFonts w:cstheme="minorHAnsi"/>
        </w:rPr>
      </w:pPr>
    </w:p>
    <w:p w14:paraId="47317618" w14:textId="078EEE2A" w:rsidR="008E66FC" w:rsidRDefault="008E66FC" w:rsidP="0089147C">
      <w:pPr>
        <w:pStyle w:val="ListParagraph"/>
        <w:widowControl w:val="0"/>
        <w:spacing w:afterLines="120" w:after="288" w:line="240" w:lineRule="atLeast"/>
        <w:ind w:left="0" w:right="95"/>
        <w:contextualSpacing w:val="0"/>
        <w:rPr>
          <w:rFonts w:cstheme="minorHAnsi"/>
        </w:rPr>
      </w:pPr>
      <w:r>
        <w:rPr>
          <w:rFonts w:cstheme="minorHAnsi"/>
        </w:rPr>
        <w:t xml:space="preserve">The </w:t>
      </w:r>
      <w:r w:rsidR="009530F5">
        <w:rPr>
          <w:rFonts w:cstheme="minorHAnsi"/>
        </w:rPr>
        <w:t xml:space="preserve">TWG-IFFs </w:t>
      </w:r>
      <w:r>
        <w:rPr>
          <w:rFonts w:cstheme="minorHAnsi"/>
        </w:rPr>
        <w:t xml:space="preserve">will </w:t>
      </w:r>
      <w:r w:rsidR="009530F5">
        <w:rPr>
          <w:rFonts w:cstheme="minorHAnsi"/>
        </w:rPr>
        <w:t xml:space="preserve">work </w:t>
      </w:r>
      <w:r>
        <w:rPr>
          <w:rFonts w:cstheme="minorHAnsi"/>
        </w:rPr>
        <w:t xml:space="preserve">in international collaboration, </w:t>
      </w:r>
      <w:r w:rsidR="009E0BA2">
        <w:rPr>
          <w:rFonts w:cstheme="minorHAnsi"/>
        </w:rPr>
        <w:t>relying on international statistical standards, and guidance provided by UNCTAD, UNODC and UNECA</w:t>
      </w:r>
      <w:r w:rsidR="009530F5">
        <w:rPr>
          <w:rFonts w:cstheme="minorHAnsi"/>
        </w:rPr>
        <w:t>, and exchanging best practices with other countries involved in the statistical measurement of IFFs</w:t>
      </w:r>
      <w:r w:rsidR="009E0BA2">
        <w:rPr>
          <w:rFonts w:cstheme="minorHAnsi"/>
        </w:rPr>
        <w:t>.</w:t>
      </w:r>
    </w:p>
    <w:p w14:paraId="11537C14" w14:textId="77777777" w:rsidR="009530F5" w:rsidRPr="00EA6F2A" w:rsidRDefault="009530F5" w:rsidP="0089147C">
      <w:pPr>
        <w:pStyle w:val="ListParagraph"/>
        <w:widowControl w:val="0"/>
        <w:spacing w:afterLines="120" w:after="288" w:line="240" w:lineRule="atLeast"/>
        <w:ind w:left="0" w:right="95"/>
        <w:contextualSpacing w:val="0"/>
        <w:rPr>
          <w:rFonts w:cstheme="minorHAnsi"/>
        </w:rPr>
      </w:pPr>
    </w:p>
    <w:p w14:paraId="60AEBC16" w14:textId="32CF27EC" w:rsidR="0064333C" w:rsidRDefault="0064333C" w:rsidP="004F68FD">
      <w:pPr>
        <w:pStyle w:val="Heading3"/>
        <w:numPr>
          <w:ilvl w:val="0"/>
          <w:numId w:val="8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Planned activities and </w:t>
      </w:r>
      <w:proofErr w:type="gramStart"/>
      <w:r>
        <w:rPr>
          <w:rFonts w:eastAsia="Times New Roman"/>
          <w:lang w:val="en-US"/>
        </w:rPr>
        <w:t>outputs</w:t>
      </w:r>
      <w:proofErr w:type="gramEnd"/>
    </w:p>
    <w:p w14:paraId="503B4EDE" w14:textId="381DD107" w:rsidR="00E760FD" w:rsidRDefault="00E760FD" w:rsidP="00E760FD">
      <w:pPr>
        <w:rPr>
          <w:lang w:val="en-US"/>
        </w:rPr>
      </w:pPr>
    </w:p>
    <w:p w14:paraId="40E53872" w14:textId="147D4E93" w:rsidR="000374AF" w:rsidRDefault="003A2B81" w:rsidP="001157C4">
      <w:pPr>
        <w:pStyle w:val="ListParagraph"/>
        <w:widowControl w:val="0"/>
        <w:numPr>
          <w:ilvl w:val="1"/>
          <w:numId w:val="7"/>
        </w:numPr>
        <w:spacing w:afterLines="120" w:after="288" w:line="240" w:lineRule="atLeast"/>
        <w:ind w:left="0" w:right="95" w:firstLine="0"/>
        <w:contextualSpacing w:val="0"/>
        <w:jc w:val="both"/>
      </w:pPr>
      <w:r>
        <w:t>The TWG-IFFs will carry out the following activities</w:t>
      </w:r>
      <w:r w:rsidR="006D6795" w:rsidRPr="006D6795">
        <w:t>:</w:t>
      </w:r>
    </w:p>
    <w:p w14:paraId="5FE88B8A" w14:textId="6F46D338" w:rsidR="00F73ECD" w:rsidRDefault="00F73ECD" w:rsidP="00F73ECD">
      <w:pPr>
        <w:pStyle w:val="ListParagraph"/>
        <w:numPr>
          <w:ilvl w:val="2"/>
          <w:numId w:val="7"/>
        </w:numPr>
        <w:spacing w:after="0"/>
        <w:ind w:left="709"/>
        <w:jc w:val="both"/>
        <w:rPr>
          <w:lang w:val="en-US"/>
        </w:rPr>
      </w:pPr>
      <w:r>
        <w:rPr>
          <w:lang w:val="en-US"/>
        </w:rPr>
        <w:t xml:space="preserve">Discuss </w:t>
      </w:r>
      <w:r w:rsidRPr="00F73ECD">
        <w:rPr>
          <w:lang w:val="en-US"/>
        </w:rPr>
        <w:t xml:space="preserve">the </w:t>
      </w:r>
      <w:r w:rsidR="00B24494">
        <w:rPr>
          <w:lang w:val="en-US"/>
        </w:rPr>
        <w:t>mandates</w:t>
      </w:r>
      <w:r w:rsidR="005D4E43">
        <w:rPr>
          <w:lang w:val="en-US"/>
        </w:rPr>
        <w:t>, expertise</w:t>
      </w:r>
      <w:r w:rsidR="00B24494">
        <w:rPr>
          <w:lang w:val="en-US"/>
        </w:rPr>
        <w:t xml:space="preserve"> </w:t>
      </w:r>
      <w:r w:rsidRPr="00F73ECD">
        <w:rPr>
          <w:lang w:val="en-US"/>
        </w:rPr>
        <w:t xml:space="preserve">and relationships of national authorities and other stakeholders </w:t>
      </w:r>
      <w:r w:rsidR="004D717D">
        <w:rPr>
          <w:lang w:val="en-US"/>
        </w:rPr>
        <w:t xml:space="preserve">related to </w:t>
      </w:r>
      <w:r w:rsidRPr="00F73ECD">
        <w:rPr>
          <w:lang w:val="en-US"/>
        </w:rPr>
        <w:t xml:space="preserve">different </w:t>
      </w:r>
      <w:r w:rsidR="004D717D">
        <w:rPr>
          <w:lang w:val="en-US"/>
        </w:rPr>
        <w:t xml:space="preserve">types of </w:t>
      </w:r>
      <w:r w:rsidRPr="00F73ECD">
        <w:rPr>
          <w:lang w:val="en-US"/>
        </w:rPr>
        <w:t>IFFs</w:t>
      </w:r>
      <w:r w:rsidR="004D717D">
        <w:rPr>
          <w:lang w:val="en-US"/>
        </w:rPr>
        <w:t>.</w:t>
      </w:r>
      <w:r w:rsidRPr="00F73ECD">
        <w:rPr>
          <w:lang w:val="en-US"/>
        </w:rPr>
        <w:t xml:space="preserve"> </w:t>
      </w:r>
      <w:r w:rsidR="00B24494">
        <w:rPr>
          <w:lang w:val="en-US"/>
        </w:rPr>
        <w:t>Agree on the roles of</w:t>
      </w:r>
      <w:r w:rsidR="005D4E43">
        <w:rPr>
          <w:lang w:val="en-US"/>
        </w:rPr>
        <w:t xml:space="preserve"> authorities and modalities of </w:t>
      </w:r>
      <w:proofErr w:type="gramStart"/>
      <w:r w:rsidR="005D4E43">
        <w:rPr>
          <w:lang w:val="en-US"/>
        </w:rPr>
        <w:t>collaboration;</w:t>
      </w:r>
      <w:proofErr w:type="gramEnd"/>
    </w:p>
    <w:p w14:paraId="6AEC9325" w14:textId="29585F17" w:rsidR="00FF60A6" w:rsidRPr="00F73ECD" w:rsidRDefault="00FF60A6" w:rsidP="00FF60A6">
      <w:pPr>
        <w:pStyle w:val="ListParagraph"/>
        <w:numPr>
          <w:ilvl w:val="2"/>
          <w:numId w:val="7"/>
        </w:numPr>
        <w:spacing w:after="0"/>
        <w:ind w:left="709"/>
        <w:jc w:val="both"/>
        <w:rPr>
          <w:lang w:val="en-US"/>
        </w:rPr>
      </w:pPr>
      <w:r>
        <w:rPr>
          <w:lang w:val="en-US"/>
        </w:rPr>
        <w:t xml:space="preserve">Consider </w:t>
      </w:r>
      <w:r w:rsidRPr="00F73ECD">
        <w:rPr>
          <w:lang w:val="en-US"/>
        </w:rPr>
        <w:t xml:space="preserve">existing knowledge, information and estimates of IFFs and </w:t>
      </w:r>
      <w:r>
        <w:rPr>
          <w:lang w:val="en-US"/>
        </w:rPr>
        <w:t xml:space="preserve">assess </w:t>
      </w:r>
      <w:r w:rsidRPr="00F73ECD">
        <w:rPr>
          <w:lang w:val="en-US"/>
        </w:rPr>
        <w:t>IFF risk</w:t>
      </w:r>
      <w:r>
        <w:rPr>
          <w:lang w:val="en-US"/>
        </w:rPr>
        <w:t>s</w:t>
      </w:r>
      <w:r w:rsidRPr="00F73ECD">
        <w:rPr>
          <w:lang w:val="en-US"/>
        </w:rPr>
        <w:t xml:space="preserve"> </w:t>
      </w:r>
      <w:r w:rsidR="00671998">
        <w:rPr>
          <w:lang w:val="en-US"/>
        </w:rPr>
        <w:t xml:space="preserve">and exposure </w:t>
      </w:r>
      <w:r>
        <w:rPr>
          <w:lang w:val="en-US"/>
        </w:rPr>
        <w:t xml:space="preserve">in </w:t>
      </w:r>
      <w:r w:rsidRPr="00F740A7">
        <w:t>[</w:t>
      </w:r>
      <w:r>
        <w:t>country name</w:t>
      </w:r>
      <w:proofErr w:type="gramStart"/>
      <w:r w:rsidRPr="00F740A7">
        <w:t>]</w:t>
      </w:r>
      <w:r w:rsidRPr="00F73ECD">
        <w:rPr>
          <w:lang w:val="en-US"/>
        </w:rPr>
        <w:t>;</w:t>
      </w:r>
      <w:proofErr w:type="gramEnd"/>
      <w:r w:rsidRPr="00F73ECD">
        <w:rPr>
          <w:lang w:val="en-US"/>
        </w:rPr>
        <w:t xml:space="preserve"> </w:t>
      </w:r>
    </w:p>
    <w:p w14:paraId="674C3E16" w14:textId="46D289FA" w:rsidR="00104609" w:rsidRDefault="00EB4856" w:rsidP="00F73ECD">
      <w:pPr>
        <w:pStyle w:val="ListParagraph"/>
        <w:numPr>
          <w:ilvl w:val="2"/>
          <w:numId w:val="7"/>
        </w:numPr>
        <w:spacing w:after="0"/>
        <w:ind w:left="709" w:hanging="465"/>
        <w:jc w:val="both"/>
        <w:rPr>
          <w:lang w:val="en-US"/>
        </w:rPr>
      </w:pPr>
      <w:r>
        <w:rPr>
          <w:lang w:val="en-US"/>
        </w:rPr>
        <w:t>R</w:t>
      </w:r>
      <w:r w:rsidR="00E760FD" w:rsidRPr="009F1E60">
        <w:rPr>
          <w:lang w:val="en-US"/>
        </w:rPr>
        <w:t>eview data availab</w:t>
      </w:r>
      <w:r>
        <w:rPr>
          <w:lang w:val="en-US"/>
        </w:rPr>
        <w:t>le to national authorities</w:t>
      </w:r>
      <w:r w:rsidR="00A753B5">
        <w:rPr>
          <w:lang w:val="en-US"/>
        </w:rPr>
        <w:t>, including access to other administrative or privately held data</w:t>
      </w:r>
      <w:r w:rsidR="00E760FD" w:rsidRPr="009F1E60">
        <w:rPr>
          <w:lang w:val="en-US"/>
        </w:rPr>
        <w:t xml:space="preserve"> </w:t>
      </w:r>
      <w:r w:rsidR="00A753B5">
        <w:rPr>
          <w:lang w:val="en-US"/>
        </w:rPr>
        <w:t>consider</w:t>
      </w:r>
      <w:r w:rsidR="007369E6">
        <w:rPr>
          <w:lang w:val="en-US"/>
        </w:rPr>
        <w:t>ing</w:t>
      </w:r>
      <w:r w:rsidR="00A753B5">
        <w:rPr>
          <w:lang w:val="en-US"/>
        </w:rPr>
        <w:t xml:space="preserve"> </w:t>
      </w:r>
      <w:r w:rsidR="00E760FD" w:rsidRPr="009F1E60">
        <w:rPr>
          <w:lang w:val="en-US"/>
        </w:rPr>
        <w:t xml:space="preserve">legal </w:t>
      </w:r>
      <w:proofErr w:type="gramStart"/>
      <w:r w:rsidR="00E760FD" w:rsidRPr="009F1E60">
        <w:rPr>
          <w:lang w:val="en-US"/>
        </w:rPr>
        <w:t>frameworks</w:t>
      </w:r>
      <w:r w:rsidR="00F20BA3">
        <w:rPr>
          <w:lang w:val="en-US"/>
        </w:rPr>
        <w:t>;</w:t>
      </w:r>
      <w:proofErr w:type="gramEnd"/>
      <w:r w:rsidR="005974D3">
        <w:rPr>
          <w:lang w:val="en-US"/>
        </w:rPr>
        <w:t xml:space="preserve"> </w:t>
      </w:r>
    </w:p>
    <w:p w14:paraId="61C610AC" w14:textId="46931391" w:rsidR="009F1E60" w:rsidRDefault="00104609" w:rsidP="00DE07D9">
      <w:pPr>
        <w:pStyle w:val="ListParagraph"/>
        <w:numPr>
          <w:ilvl w:val="2"/>
          <w:numId w:val="7"/>
        </w:numPr>
        <w:spacing w:after="0"/>
        <w:ind w:left="709" w:hanging="465"/>
        <w:jc w:val="both"/>
        <w:rPr>
          <w:lang w:val="en-US"/>
        </w:rPr>
      </w:pPr>
      <w:r>
        <w:rPr>
          <w:lang w:val="en-US"/>
        </w:rPr>
        <w:t>A</w:t>
      </w:r>
      <w:r w:rsidR="0053462D">
        <w:rPr>
          <w:lang w:val="en-US"/>
        </w:rPr>
        <w:t xml:space="preserve">ssess the </w:t>
      </w:r>
      <w:r w:rsidR="007369E6">
        <w:rPr>
          <w:lang w:val="en-US"/>
        </w:rPr>
        <w:t xml:space="preserve">current </w:t>
      </w:r>
      <w:r w:rsidR="00E760FD" w:rsidRPr="009F1E60">
        <w:rPr>
          <w:lang w:val="en-US"/>
        </w:rPr>
        <w:t xml:space="preserve">statistical capacity </w:t>
      </w:r>
      <w:r>
        <w:rPr>
          <w:lang w:val="en-US"/>
        </w:rPr>
        <w:t xml:space="preserve">of national authorities </w:t>
      </w:r>
      <w:r w:rsidR="0053462D">
        <w:rPr>
          <w:lang w:val="en-US"/>
        </w:rPr>
        <w:t xml:space="preserve">and </w:t>
      </w:r>
      <w:r>
        <w:rPr>
          <w:lang w:val="en-US"/>
        </w:rPr>
        <w:t xml:space="preserve">identify priority </w:t>
      </w:r>
      <w:r w:rsidR="0053462D">
        <w:rPr>
          <w:lang w:val="en-US"/>
        </w:rPr>
        <w:t xml:space="preserve">development </w:t>
      </w:r>
      <w:proofErr w:type="gramStart"/>
      <w:r w:rsidR="0053462D">
        <w:rPr>
          <w:lang w:val="en-US"/>
        </w:rPr>
        <w:t>needs</w:t>
      </w:r>
      <w:r w:rsidR="00F20BA3">
        <w:rPr>
          <w:lang w:val="en-US"/>
        </w:rPr>
        <w:t>;</w:t>
      </w:r>
      <w:proofErr w:type="gramEnd"/>
    </w:p>
    <w:p w14:paraId="259794D6" w14:textId="3B94DC6A" w:rsidR="00925591" w:rsidRDefault="0019134B" w:rsidP="00DE07D9">
      <w:pPr>
        <w:pStyle w:val="ListParagraph"/>
        <w:numPr>
          <w:ilvl w:val="2"/>
          <w:numId w:val="7"/>
        </w:numPr>
        <w:spacing w:after="0"/>
        <w:ind w:left="709" w:hanging="465"/>
        <w:jc w:val="both"/>
        <w:rPr>
          <w:lang w:val="en-US"/>
        </w:rPr>
      </w:pPr>
      <w:r>
        <w:rPr>
          <w:lang w:val="en-US"/>
        </w:rPr>
        <w:t xml:space="preserve">Guide the </w:t>
      </w:r>
      <w:r w:rsidR="00055801">
        <w:t>planning of pilot testing,</w:t>
      </w:r>
      <w:r>
        <w:rPr>
          <w:lang w:val="en-US"/>
        </w:rPr>
        <w:t xml:space="preserve"> </w:t>
      </w:r>
      <w:r w:rsidR="002F0FD2">
        <w:rPr>
          <w:lang w:val="en-US"/>
        </w:rPr>
        <w:t xml:space="preserve">including the </w:t>
      </w:r>
      <w:r w:rsidR="00925591">
        <w:rPr>
          <w:lang w:val="en-US"/>
        </w:rPr>
        <w:t xml:space="preserve">selection </w:t>
      </w:r>
      <w:r w:rsidR="002F0FD2">
        <w:rPr>
          <w:lang w:val="en-US"/>
        </w:rPr>
        <w:t>of IFFs to be measured</w:t>
      </w:r>
      <w:r w:rsidR="00133194">
        <w:rPr>
          <w:lang w:val="en-US"/>
        </w:rPr>
        <w:t xml:space="preserve"> as a priority</w:t>
      </w:r>
      <w:r w:rsidR="005F114D">
        <w:rPr>
          <w:lang w:val="en-US"/>
        </w:rPr>
        <w:t>,</w:t>
      </w:r>
      <w:r w:rsidR="00FF0A7E">
        <w:rPr>
          <w:lang w:val="en-US"/>
        </w:rPr>
        <w:t xml:space="preserve"> </w:t>
      </w:r>
      <w:r w:rsidR="00925591" w:rsidRPr="00925591">
        <w:rPr>
          <w:lang w:val="en-US"/>
        </w:rPr>
        <w:t xml:space="preserve">and agree on a division of work between </w:t>
      </w:r>
      <w:proofErr w:type="gramStart"/>
      <w:r w:rsidR="00925591" w:rsidRPr="00925591">
        <w:rPr>
          <w:lang w:val="en-US"/>
        </w:rPr>
        <w:t>agencies</w:t>
      </w:r>
      <w:r w:rsidR="005F114D">
        <w:rPr>
          <w:lang w:val="en-US"/>
        </w:rPr>
        <w:t>;</w:t>
      </w:r>
      <w:proofErr w:type="gramEnd"/>
    </w:p>
    <w:p w14:paraId="619C7615" w14:textId="33E66B54" w:rsidR="00E1682E" w:rsidRPr="00DE07D9" w:rsidRDefault="00290046" w:rsidP="00F73ECD">
      <w:pPr>
        <w:pStyle w:val="ListParagraph"/>
        <w:numPr>
          <w:ilvl w:val="2"/>
          <w:numId w:val="7"/>
        </w:numPr>
        <w:spacing w:after="0"/>
        <w:ind w:left="709" w:hanging="465"/>
        <w:jc w:val="both"/>
        <w:rPr>
          <w:lang w:val="en-US"/>
        </w:rPr>
      </w:pPr>
      <w:r>
        <w:rPr>
          <w:lang w:val="en-US"/>
        </w:rPr>
        <w:t xml:space="preserve">Contribute </w:t>
      </w:r>
      <w:r w:rsidR="00E1682E">
        <w:rPr>
          <w:lang w:val="en-US"/>
        </w:rPr>
        <w:t>to the accumulation of knowledge, expertise</w:t>
      </w:r>
      <w:r w:rsidR="00EF250B">
        <w:rPr>
          <w:lang w:val="en-US"/>
        </w:rPr>
        <w:t>, tools and resources for national use</w:t>
      </w:r>
      <w:r w:rsidR="00E400CF">
        <w:rPr>
          <w:lang w:val="en-US"/>
        </w:rPr>
        <w:t>, share expertise, and r</w:t>
      </w:r>
      <w:r w:rsidR="00E400CF">
        <w:rPr>
          <w:lang w:val="en-US"/>
        </w:rPr>
        <w:t xml:space="preserve">eview training needs and available </w:t>
      </w:r>
      <w:proofErr w:type="gramStart"/>
      <w:r w:rsidR="00E400CF">
        <w:rPr>
          <w:lang w:val="en-US"/>
        </w:rPr>
        <w:t>guidance</w:t>
      </w:r>
      <w:r w:rsidR="00EF250B">
        <w:rPr>
          <w:lang w:val="en-US"/>
        </w:rPr>
        <w:t>;</w:t>
      </w:r>
      <w:proofErr w:type="gramEnd"/>
    </w:p>
    <w:p w14:paraId="767B701D" w14:textId="5898DCF6" w:rsidR="008E78AF" w:rsidRDefault="007B74A6" w:rsidP="00DE07D9">
      <w:pPr>
        <w:pStyle w:val="ListParagraph"/>
        <w:numPr>
          <w:ilvl w:val="2"/>
          <w:numId w:val="7"/>
        </w:numPr>
        <w:spacing w:after="0"/>
        <w:ind w:left="709" w:hanging="465"/>
        <w:jc w:val="both"/>
        <w:rPr>
          <w:lang w:val="en-US"/>
        </w:rPr>
      </w:pPr>
      <w:r>
        <w:rPr>
          <w:lang w:val="en-US"/>
        </w:rPr>
        <w:t>P</w:t>
      </w:r>
      <w:r>
        <w:rPr>
          <w:lang w:val="en-US"/>
        </w:rPr>
        <w:t xml:space="preserve">rovide a sounding board for </w:t>
      </w:r>
      <w:r>
        <w:rPr>
          <w:lang w:val="en-US"/>
        </w:rPr>
        <w:t xml:space="preserve">the discussion </w:t>
      </w:r>
      <w:r>
        <w:t xml:space="preserve">of </w:t>
      </w:r>
      <w:r w:rsidR="007A7E28">
        <w:t xml:space="preserve">challenges and </w:t>
      </w:r>
      <w:r>
        <w:t xml:space="preserve">findings </w:t>
      </w:r>
      <w:r w:rsidR="00DF5BAB">
        <w:t>of pilot testing</w:t>
      </w:r>
      <w:r w:rsidR="00E7666C">
        <w:t xml:space="preserve"> in the course of work</w:t>
      </w:r>
      <w:r w:rsidR="00A805D3">
        <w:t xml:space="preserve">, review progress and </w:t>
      </w:r>
      <w:proofErr w:type="gramStart"/>
      <w:r w:rsidR="00A805D3">
        <w:t>findings</w:t>
      </w:r>
      <w:r w:rsidR="005F114D">
        <w:t>;</w:t>
      </w:r>
      <w:proofErr w:type="gramEnd"/>
      <w:r w:rsidR="007A7E28">
        <w:rPr>
          <w:lang w:val="en-US"/>
        </w:rPr>
        <w:t xml:space="preserve"> </w:t>
      </w:r>
    </w:p>
    <w:p w14:paraId="7EB88CA8" w14:textId="5B6FC803" w:rsidR="00E760FD" w:rsidRPr="009F1E60" w:rsidRDefault="00773143" w:rsidP="00DE07D9">
      <w:pPr>
        <w:pStyle w:val="ListParagraph"/>
        <w:numPr>
          <w:ilvl w:val="2"/>
          <w:numId w:val="7"/>
        </w:numPr>
        <w:spacing w:after="0"/>
        <w:ind w:left="709" w:hanging="465"/>
        <w:jc w:val="both"/>
        <w:rPr>
          <w:lang w:val="en-US"/>
        </w:rPr>
      </w:pPr>
      <w:r>
        <w:rPr>
          <w:lang w:val="en-US"/>
        </w:rPr>
        <w:t xml:space="preserve">Organise meetings as necessary to inform and engage stakeholders and other national </w:t>
      </w:r>
      <w:r w:rsidR="00444B09">
        <w:rPr>
          <w:lang w:val="en-US"/>
        </w:rPr>
        <w:t xml:space="preserve">authorities of </w:t>
      </w:r>
      <w:r w:rsidR="00164DDE">
        <w:rPr>
          <w:lang w:val="en-US"/>
        </w:rPr>
        <w:t xml:space="preserve">plans, </w:t>
      </w:r>
      <w:r w:rsidR="00444B09">
        <w:rPr>
          <w:lang w:val="en-US"/>
        </w:rPr>
        <w:t xml:space="preserve">progress and </w:t>
      </w:r>
      <w:r w:rsidR="00164DDE">
        <w:rPr>
          <w:lang w:val="en-US"/>
        </w:rPr>
        <w:t>results of work</w:t>
      </w:r>
      <w:r w:rsidR="000D50D1">
        <w:rPr>
          <w:lang w:val="en-US"/>
        </w:rPr>
        <w:t xml:space="preserve">, and the challenges and importance of measuring </w:t>
      </w:r>
      <w:proofErr w:type="gramStart"/>
      <w:r w:rsidR="000D50D1">
        <w:rPr>
          <w:lang w:val="en-US"/>
        </w:rPr>
        <w:t>IFFs</w:t>
      </w:r>
      <w:r w:rsidR="005F114D">
        <w:rPr>
          <w:lang w:val="en-US"/>
        </w:rPr>
        <w:t>;</w:t>
      </w:r>
      <w:proofErr w:type="gramEnd"/>
      <w:r w:rsidR="00444B09">
        <w:rPr>
          <w:lang w:val="en-US"/>
        </w:rPr>
        <w:t xml:space="preserve"> </w:t>
      </w:r>
    </w:p>
    <w:p w14:paraId="64A24363" w14:textId="1FDC2A5D" w:rsidR="00FB37D7" w:rsidRDefault="009F2B84" w:rsidP="00FB37D7">
      <w:pPr>
        <w:pStyle w:val="ListParagraph"/>
        <w:numPr>
          <w:ilvl w:val="2"/>
          <w:numId w:val="7"/>
        </w:numPr>
        <w:spacing w:after="0"/>
        <w:ind w:left="709" w:hanging="465"/>
        <w:jc w:val="both"/>
        <w:rPr>
          <w:lang w:val="en-US"/>
        </w:rPr>
      </w:pPr>
      <w:r>
        <w:t>A</w:t>
      </w:r>
      <w:r w:rsidRPr="002370B4">
        <w:t xml:space="preserve">gree on an </w:t>
      </w:r>
      <w:r>
        <w:t>A</w:t>
      </w:r>
      <w:r w:rsidRPr="002370B4">
        <w:t xml:space="preserve">ction </w:t>
      </w:r>
      <w:r>
        <w:t>P</w:t>
      </w:r>
      <w:r w:rsidRPr="002370B4">
        <w:t>lan for future measurement of IFFs in the country</w:t>
      </w:r>
      <w:r w:rsidR="00532474">
        <w:t>,</w:t>
      </w:r>
      <w:r>
        <w:rPr>
          <w:lang w:val="en-US"/>
        </w:rPr>
        <w:t xml:space="preserve"> </w:t>
      </w:r>
      <w:r w:rsidR="00D200BF">
        <w:rPr>
          <w:lang w:val="en-US"/>
        </w:rPr>
        <w:t xml:space="preserve">considering </w:t>
      </w:r>
      <w:r w:rsidR="00532474">
        <w:rPr>
          <w:lang w:val="en-US"/>
        </w:rPr>
        <w:t xml:space="preserve">the </w:t>
      </w:r>
      <w:r w:rsidR="00D200BF">
        <w:rPr>
          <w:lang w:val="en-US"/>
        </w:rPr>
        <w:t xml:space="preserve">necessary </w:t>
      </w:r>
      <w:r w:rsidR="003D378D">
        <w:rPr>
          <w:lang w:val="en-US"/>
        </w:rPr>
        <w:t xml:space="preserve">data infrastructure and statistical capacity. </w:t>
      </w:r>
      <w:r w:rsidR="003D378D">
        <w:rPr>
          <w:lang w:val="en-US"/>
        </w:rPr>
        <w:t>D</w:t>
      </w:r>
      <w:r w:rsidR="00FB37D7">
        <w:rPr>
          <w:lang w:val="en-US"/>
        </w:rPr>
        <w:t>iscuss and agree on</w:t>
      </w:r>
      <w:r w:rsidR="00FB37D7" w:rsidRPr="0036298E">
        <w:rPr>
          <w:lang w:val="en-US"/>
        </w:rPr>
        <w:t xml:space="preserve"> short and long-term priorities for </w:t>
      </w:r>
      <w:r w:rsidR="00D200BF">
        <w:rPr>
          <w:lang w:val="en-US"/>
        </w:rPr>
        <w:t xml:space="preserve">capacity development </w:t>
      </w:r>
      <w:r w:rsidR="007172ED">
        <w:rPr>
          <w:lang w:val="en-US"/>
        </w:rPr>
        <w:t xml:space="preserve">and statistical work </w:t>
      </w:r>
      <w:r w:rsidR="0051511E">
        <w:rPr>
          <w:lang w:val="en-US"/>
        </w:rPr>
        <w:t xml:space="preserve">on </w:t>
      </w:r>
      <w:proofErr w:type="gramStart"/>
      <w:r w:rsidR="00FB37D7">
        <w:rPr>
          <w:lang w:val="en-US"/>
        </w:rPr>
        <w:t>IFF</w:t>
      </w:r>
      <w:r w:rsidR="0051511E">
        <w:rPr>
          <w:lang w:val="en-US"/>
        </w:rPr>
        <w:t>s</w:t>
      </w:r>
      <w:r w:rsidR="005F114D">
        <w:rPr>
          <w:lang w:val="en-US"/>
        </w:rPr>
        <w:t>;</w:t>
      </w:r>
      <w:proofErr w:type="gramEnd"/>
    </w:p>
    <w:p w14:paraId="15593F11" w14:textId="01E57143" w:rsidR="00714B93" w:rsidRDefault="00714B93" w:rsidP="00FB37D7">
      <w:pPr>
        <w:pStyle w:val="ListParagraph"/>
        <w:numPr>
          <w:ilvl w:val="2"/>
          <w:numId w:val="7"/>
        </w:numPr>
        <w:spacing w:after="0"/>
        <w:ind w:left="709" w:hanging="465"/>
        <w:jc w:val="both"/>
        <w:rPr>
          <w:lang w:val="en-US"/>
        </w:rPr>
      </w:pPr>
      <w:r>
        <w:t xml:space="preserve">Reach out to </w:t>
      </w:r>
      <w:r w:rsidR="00E45815">
        <w:t>p</w:t>
      </w:r>
      <w:r w:rsidR="00E45815" w:rsidRPr="00AE7928">
        <w:t>romote a whole-of-government approach to dealing with IFFs</w:t>
      </w:r>
      <w:r w:rsidR="00E45815">
        <w:t>,</w:t>
      </w:r>
      <w:r w:rsidR="00E45815">
        <w:t xml:space="preserve"> </w:t>
      </w:r>
      <w:r>
        <w:t xml:space="preserve">share </w:t>
      </w:r>
      <w:r w:rsidR="00E45815">
        <w:t xml:space="preserve">statistical findings </w:t>
      </w:r>
      <w:r>
        <w:t xml:space="preserve">and seek funding for </w:t>
      </w:r>
      <w:r w:rsidR="00E079F8">
        <w:t xml:space="preserve">continuous statistical measurement of IFFs with a view on reporting </w:t>
      </w:r>
      <w:r w:rsidR="006027FD">
        <w:t>in the context of 2030 Agenda</w:t>
      </w:r>
      <w:r w:rsidR="00DE07D9">
        <w:t xml:space="preserve"> and beyond</w:t>
      </w:r>
      <w:r w:rsidR="006027FD">
        <w:t>.</w:t>
      </w:r>
    </w:p>
    <w:p w14:paraId="317174DB" w14:textId="77777777" w:rsidR="0047394D" w:rsidRPr="0047394D" w:rsidRDefault="0047394D" w:rsidP="0047394D">
      <w:pPr>
        <w:spacing w:after="0"/>
        <w:jc w:val="both"/>
        <w:rPr>
          <w:lang w:val="en-US"/>
        </w:rPr>
      </w:pPr>
    </w:p>
    <w:p w14:paraId="397B8839" w14:textId="5909E957" w:rsidR="0064333C" w:rsidRDefault="0064333C" w:rsidP="001D04AF">
      <w:pPr>
        <w:pStyle w:val="Heading3"/>
        <w:numPr>
          <w:ilvl w:val="0"/>
          <w:numId w:val="8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Timetable</w:t>
      </w:r>
    </w:p>
    <w:p w14:paraId="6C498153" w14:textId="5AF33B5F" w:rsidR="00E760FD" w:rsidRDefault="00E760FD" w:rsidP="001D04AF">
      <w:pPr>
        <w:keepNext/>
        <w:keepLines/>
        <w:rPr>
          <w:lang w:val="en-US"/>
        </w:rPr>
      </w:pPr>
    </w:p>
    <w:p w14:paraId="72787AB5" w14:textId="0D70B766" w:rsidR="00E760FD" w:rsidRPr="003E5BD3" w:rsidRDefault="00E760FD" w:rsidP="001D04AF">
      <w:pPr>
        <w:pStyle w:val="ListParagraph"/>
        <w:keepNext/>
        <w:keepLines/>
        <w:numPr>
          <w:ilvl w:val="1"/>
          <w:numId w:val="7"/>
        </w:numPr>
        <w:spacing w:afterLines="120" w:after="288" w:line="240" w:lineRule="atLeast"/>
        <w:ind w:left="0" w:right="95" w:firstLine="0"/>
        <w:contextualSpacing w:val="0"/>
        <w:jc w:val="both"/>
        <w:rPr>
          <w:rFonts w:cstheme="minorHAnsi"/>
        </w:rPr>
      </w:pPr>
      <w:r w:rsidRPr="003E5BD3">
        <w:rPr>
          <w:rFonts w:cstheme="minorHAnsi"/>
        </w:rPr>
        <w:t xml:space="preserve">The activities of the </w:t>
      </w:r>
      <w:r w:rsidR="006D6795">
        <w:rPr>
          <w:rFonts w:cstheme="minorHAnsi"/>
        </w:rPr>
        <w:t>TWG-IFFs</w:t>
      </w:r>
      <w:r w:rsidRPr="003E5BD3">
        <w:rPr>
          <w:rFonts w:cstheme="minorHAnsi"/>
        </w:rPr>
        <w:t xml:space="preserve"> are planned according to the indicative</w:t>
      </w:r>
      <w:r>
        <w:rPr>
          <w:rFonts w:cstheme="minorHAnsi"/>
        </w:rPr>
        <w:t xml:space="preserve"> </w:t>
      </w:r>
      <w:r w:rsidRPr="003E5BD3">
        <w:rPr>
          <w:rFonts w:cstheme="minorHAnsi"/>
        </w:rPr>
        <w:t xml:space="preserve">timetable: </w:t>
      </w:r>
    </w:p>
    <w:tbl>
      <w:tblPr>
        <w:tblStyle w:val="GridTable1Light-Accent5"/>
        <w:tblW w:w="9328" w:type="dxa"/>
        <w:tblInd w:w="-431" w:type="dxa"/>
        <w:tblLook w:val="04A0" w:firstRow="1" w:lastRow="0" w:firstColumn="1" w:lastColumn="0" w:noHBand="0" w:noVBand="1"/>
      </w:tblPr>
      <w:tblGrid>
        <w:gridCol w:w="2099"/>
        <w:gridCol w:w="7229"/>
      </w:tblGrid>
      <w:tr w:rsidR="00E760FD" w:rsidRPr="003E5BD3" w14:paraId="44F38DAF" w14:textId="77777777" w:rsidTr="00C77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130863F3" w14:textId="77777777" w:rsidR="00E760FD" w:rsidRPr="003E5BD3" w:rsidRDefault="00E760FD" w:rsidP="00072053">
            <w:pPr>
              <w:tabs>
                <w:tab w:val="left" w:pos="567"/>
              </w:tabs>
              <w:ind w:right="95"/>
              <w:jc w:val="both"/>
              <w:rPr>
                <w:rFonts w:cstheme="minorHAnsi"/>
                <w:b w:val="0"/>
                <w:color w:val="2F5496" w:themeColor="accent1" w:themeShade="BF"/>
                <w:sz w:val="24"/>
                <w:szCs w:val="24"/>
              </w:rPr>
            </w:pPr>
            <w:r w:rsidRPr="003E5BD3">
              <w:rPr>
                <w:rFonts w:cstheme="minorHAnsi"/>
                <w:color w:val="2F5496" w:themeColor="accent1" w:themeShade="BF"/>
                <w:sz w:val="24"/>
                <w:szCs w:val="24"/>
              </w:rPr>
              <w:t>Timing</w:t>
            </w:r>
          </w:p>
        </w:tc>
        <w:tc>
          <w:tcPr>
            <w:tcW w:w="7229" w:type="dxa"/>
          </w:tcPr>
          <w:p w14:paraId="43EF0DDC" w14:textId="78113461" w:rsidR="00E760FD" w:rsidRPr="003E5BD3" w:rsidRDefault="00943BA7" w:rsidP="00072053">
            <w:pPr>
              <w:tabs>
                <w:tab w:val="left" w:pos="567"/>
              </w:tabs>
              <w:ind w:right="9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2F5496" w:themeColor="accent1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1" w:themeShade="BF"/>
                <w:sz w:val="24"/>
                <w:szCs w:val="24"/>
              </w:rPr>
              <w:t>Milestones</w:t>
            </w:r>
          </w:p>
        </w:tc>
      </w:tr>
      <w:tr w:rsidR="00E760FD" w:rsidRPr="0087797B" w14:paraId="76B08150" w14:textId="77777777" w:rsidTr="00C7716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shd w:val="clear" w:color="auto" w:fill="DEEAF6" w:themeFill="accent5" w:themeFillTint="33"/>
          </w:tcPr>
          <w:p w14:paraId="4E8F4778" w14:textId="77777777" w:rsidR="00E760FD" w:rsidRPr="0087797B" w:rsidRDefault="00E760FD" w:rsidP="00072053">
            <w:pPr>
              <w:tabs>
                <w:tab w:val="left" w:pos="567"/>
              </w:tabs>
              <w:spacing w:before="40" w:after="40"/>
              <w:ind w:right="95"/>
              <w:jc w:val="both"/>
              <w:rPr>
                <w:rFonts w:cstheme="minorHAnsi"/>
              </w:rPr>
            </w:pPr>
            <w:r w:rsidRPr="0087797B">
              <w:rPr>
                <w:rFonts w:cstheme="minorHAnsi"/>
              </w:rPr>
              <w:t>Phase 1</w:t>
            </w:r>
          </w:p>
        </w:tc>
        <w:tc>
          <w:tcPr>
            <w:tcW w:w="7229" w:type="dxa"/>
            <w:shd w:val="clear" w:color="auto" w:fill="DEEAF6" w:themeFill="accent5" w:themeFillTint="33"/>
          </w:tcPr>
          <w:p w14:paraId="69B598B7" w14:textId="22BCF42B" w:rsidR="00E760FD" w:rsidRPr="0087797B" w:rsidRDefault="006D6795" w:rsidP="00072053">
            <w:pPr>
              <w:tabs>
                <w:tab w:val="left" w:pos="567"/>
              </w:tabs>
              <w:spacing w:before="40" w:after="40"/>
              <w:ind w:right="9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Pilot testing of methods to measure IFFs</w:t>
            </w:r>
          </w:p>
        </w:tc>
      </w:tr>
      <w:tr w:rsidR="005D0A27" w:rsidRPr="00BB66E4" w14:paraId="1FE3AEF7" w14:textId="77777777" w:rsidTr="00C7716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7A24606A" w14:textId="683F7542" w:rsidR="005D0A27" w:rsidRPr="003E5BD3" w:rsidRDefault="005D0A27" w:rsidP="00050728">
            <w:pPr>
              <w:tabs>
                <w:tab w:val="left" w:pos="567"/>
              </w:tabs>
              <w:spacing w:before="40" w:after="40"/>
              <w:ind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Jun</w:t>
            </w:r>
            <w:r w:rsidR="000B302C">
              <w:rPr>
                <w:rFonts w:cstheme="minorHAnsi"/>
              </w:rPr>
              <w:t>-Jul</w:t>
            </w:r>
            <w:r>
              <w:rPr>
                <w:rFonts w:cstheme="minorHAnsi"/>
              </w:rPr>
              <w:t xml:space="preserve"> 2021</w:t>
            </w:r>
          </w:p>
        </w:tc>
        <w:tc>
          <w:tcPr>
            <w:tcW w:w="7229" w:type="dxa"/>
          </w:tcPr>
          <w:p w14:paraId="6093C46F" w14:textId="6D05F2C7" w:rsidR="005D0A27" w:rsidRPr="003E5BD3" w:rsidRDefault="005D0A27" w:rsidP="00050728">
            <w:pPr>
              <w:tabs>
                <w:tab w:val="left" w:pos="567"/>
              </w:tabs>
              <w:spacing w:before="40" w:after="40"/>
              <w:ind w:right="9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Set up </w:t>
            </w:r>
            <w:r w:rsidR="000B302C">
              <w:t>TWG-IFFs and agree on its Terms of Reference</w:t>
            </w:r>
            <w:r w:rsidRPr="000374AF">
              <w:t xml:space="preserve"> </w:t>
            </w:r>
          </w:p>
        </w:tc>
      </w:tr>
      <w:tr w:rsidR="00E760FD" w:rsidRPr="00BB66E4" w14:paraId="03D80B22" w14:textId="77777777" w:rsidTr="00C7716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6C5DDC49" w14:textId="6FF2346A" w:rsidR="00E760FD" w:rsidRPr="003E5BD3" w:rsidRDefault="008E78AF" w:rsidP="00072053">
            <w:pPr>
              <w:tabs>
                <w:tab w:val="left" w:pos="567"/>
              </w:tabs>
              <w:spacing w:before="40" w:after="40"/>
              <w:ind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Ju</w:t>
            </w:r>
            <w:r w:rsidR="006D3CFB">
              <w:rPr>
                <w:rFonts w:cstheme="minorHAnsi"/>
              </w:rPr>
              <w:t>n</w:t>
            </w:r>
            <w:r>
              <w:rPr>
                <w:rFonts w:cstheme="minorHAnsi"/>
              </w:rPr>
              <w:t>-</w:t>
            </w:r>
            <w:r w:rsidR="006D3CFB">
              <w:rPr>
                <w:rFonts w:cstheme="minorHAnsi"/>
              </w:rPr>
              <w:t>Jul</w:t>
            </w:r>
            <w:r w:rsidR="006D6795">
              <w:rPr>
                <w:rFonts w:cstheme="minorHAnsi"/>
              </w:rPr>
              <w:t xml:space="preserve"> 2021</w:t>
            </w:r>
          </w:p>
        </w:tc>
        <w:tc>
          <w:tcPr>
            <w:tcW w:w="7229" w:type="dxa"/>
          </w:tcPr>
          <w:p w14:paraId="67D8D108" w14:textId="6E78902E" w:rsidR="00E760FD" w:rsidRPr="003E5BD3" w:rsidRDefault="008E78AF" w:rsidP="00072053">
            <w:pPr>
              <w:tabs>
                <w:tab w:val="left" w:pos="567"/>
              </w:tabs>
              <w:spacing w:before="40" w:after="40"/>
              <w:ind w:right="9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74AF">
              <w:t xml:space="preserve">IFF risk assessment </w:t>
            </w:r>
          </w:p>
        </w:tc>
      </w:tr>
      <w:tr w:rsidR="008E78AF" w:rsidRPr="00BB66E4" w14:paraId="05E19F9B" w14:textId="77777777" w:rsidTr="00C77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2A463A3D" w14:textId="2257D8DB" w:rsidR="008E78AF" w:rsidRPr="003E5BD3" w:rsidRDefault="008E78AF" w:rsidP="008E78AF">
            <w:pPr>
              <w:tabs>
                <w:tab w:val="left" w:pos="567"/>
              </w:tabs>
              <w:spacing w:before="40" w:after="40"/>
              <w:ind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Ju</w:t>
            </w:r>
            <w:r w:rsidR="00D473F8">
              <w:rPr>
                <w:rFonts w:cstheme="minorHAnsi"/>
              </w:rPr>
              <w:t>l</w:t>
            </w:r>
            <w:r>
              <w:rPr>
                <w:rFonts w:cstheme="minorHAnsi"/>
              </w:rPr>
              <w:t>-</w:t>
            </w:r>
            <w:r w:rsidR="00187569">
              <w:rPr>
                <w:rFonts w:cstheme="minorHAnsi"/>
              </w:rPr>
              <w:t>mid-</w:t>
            </w:r>
            <w:r w:rsidRPr="00597420">
              <w:rPr>
                <w:rFonts w:cstheme="minorHAnsi"/>
              </w:rPr>
              <w:t>Sep 2021</w:t>
            </w:r>
          </w:p>
        </w:tc>
        <w:tc>
          <w:tcPr>
            <w:tcW w:w="7229" w:type="dxa"/>
          </w:tcPr>
          <w:p w14:paraId="63351132" w14:textId="18531AD1" w:rsidR="008E78AF" w:rsidRPr="003E5BD3" w:rsidRDefault="008E78AF" w:rsidP="008E78AF">
            <w:pPr>
              <w:tabs>
                <w:tab w:val="left" w:pos="567"/>
              </w:tabs>
              <w:spacing w:before="40" w:after="40"/>
              <w:ind w:right="9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Data availability review</w:t>
            </w:r>
          </w:p>
        </w:tc>
      </w:tr>
      <w:tr w:rsidR="008E78AF" w:rsidRPr="00BB66E4" w14:paraId="6223D49A" w14:textId="77777777" w:rsidTr="00C77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3BB4BB20" w14:textId="452A112B" w:rsidR="008E78AF" w:rsidRPr="003E5BD3" w:rsidRDefault="002F1B34" w:rsidP="008E78AF">
            <w:pPr>
              <w:tabs>
                <w:tab w:val="left" w:pos="567"/>
              </w:tabs>
              <w:spacing w:before="40" w:after="40"/>
              <w:ind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Aug-</w:t>
            </w:r>
            <w:r w:rsidR="008E78AF">
              <w:rPr>
                <w:rFonts w:cstheme="minorHAnsi"/>
              </w:rPr>
              <w:t>Sep</w:t>
            </w:r>
            <w:r w:rsidR="008E78AF" w:rsidRPr="00597420">
              <w:rPr>
                <w:rFonts w:cstheme="minorHAnsi"/>
              </w:rPr>
              <w:t xml:space="preserve"> 2021</w:t>
            </w:r>
          </w:p>
        </w:tc>
        <w:tc>
          <w:tcPr>
            <w:tcW w:w="7229" w:type="dxa"/>
          </w:tcPr>
          <w:p w14:paraId="1F7B8ED9" w14:textId="3E009C6A" w:rsidR="008E78AF" w:rsidRPr="003E5BD3" w:rsidRDefault="00926D8D" w:rsidP="008E78AF">
            <w:pPr>
              <w:tabs>
                <w:tab w:val="left" w:pos="567"/>
              </w:tabs>
              <w:spacing w:before="40" w:after="40"/>
              <w:ind w:right="9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Planning of pilot testing</w:t>
            </w:r>
            <w:r w:rsidR="009F18B4">
              <w:rPr>
                <w:rFonts w:cstheme="minorHAnsi"/>
              </w:rPr>
              <w:t xml:space="preserve"> </w:t>
            </w:r>
          </w:p>
        </w:tc>
      </w:tr>
      <w:tr w:rsidR="008E78AF" w:rsidRPr="00BB66E4" w14:paraId="3CAA9FC2" w14:textId="77777777" w:rsidTr="00C77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2B52A42D" w14:textId="6E42A1C6" w:rsidR="008E78AF" w:rsidRPr="00551F58" w:rsidRDefault="008E78AF" w:rsidP="008E78AF">
            <w:pPr>
              <w:tabs>
                <w:tab w:val="left" w:pos="567"/>
              </w:tabs>
              <w:spacing w:before="40" w:after="40"/>
              <w:ind w:right="95"/>
              <w:jc w:val="both"/>
              <w:rPr>
                <w:rFonts w:cstheme="minorHAnsi"/>
                <w:b w:val="0"/>
                <w:bCs w:val="0"/>
              </w:rPr>
            </w:pPr>
            <w:r w:rsidRPr="00597420">
              <w:rPr>
                <w:rFonts w:cstheme="minorHAnsi"/>
              </w:rPr>
              <w:t>Sep 2021</w:t>
            </w:r>
          </w:p>
        </w:tc>
        <w:tc>
          <w:tcPr>
            <w:tcW w:w="7229" w:type="dxa"/>
          </w:tcPr>
          <w:p w14:paraId="1C712BD1" w14:textId="0BBC4354" w:rsidR="008E78AF" w:rsidRPr="003E5BD3" w:rsidRDefault="00D903B8" w:rsidP="008E78AF">
            <w:pPr>
              <w:tabs>
                <w:tab w:val="left" w:pos="567"/>
              </w:tabs>
              <w:spacing w:before="40" w:after="40"/>
              <w:ind w:right="9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 </w:t>
            </w:r>
            <w:r w:rsidR="0029615E">
              <w:rPr>
                <w:rFonts w:cstheme="minorHAnsi"/>
              </w:rPr>
              <w:t xml:space="preserve">statistical capacity, </w:t>
            </w:r>
            <w:r>
              <w:rPr>
                <w:rFonts w:cstheme="minorHAnsi"/>
              </w:rPr>
              <w:t xml:space="preserve">training needs and materials </w:t>
            </w:r>
          </w:p>
        </w:tc>
      </w:tr>
      <w:tr w:rsidR="003B6836" w:rsidRPr="00BB66E4" w14:paraId="246BA128" w14:textId="77777777" w:rsidTr="0005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42CE75CE" w14:textId="77777777" w:rsidR="003B6836" w:rsidRPr="00551F58" w:rsidRDefault="003B6836" w:rsidP="00050728">
            <w:pPr>
              <w:tabs>
                <w:tab w:val="left" w:pos="567"/>
              </w:tabs>
              <w:spacing w:before="40" w:after="40"/>
              <w:ind w:right="95"/>
              <w:jc w:val="both"/>
              <w:rPr>
                <w:rFonts w:cstheme="minorHAnsi"/>
                <w:b w:val="0"/>
                <w:bCs w:val="0"/>
              </w:rPr>
            </w:pPr>
            <w:r w:rsidRPr="00597420">
              <w:rPr>
                <w:rFonts w:cstheme="minorHAnsi"/>
              </w:rPr>
              <w:t>Sep</w:t>
            </w:r>
            <w:r>
              <w:rPr>
                <w:rFonts w:cstheme="minorHAnsi"/>
              </w:rPr>
              <w:t>-Nov</w:t>
            </w:r>
            <w:r w:rsidRPr="00597420">
              <w:rPr>
                <w:rFonts w:cstheme="minorHAnsi"/>
              </w:rPr>
              <w:t xml:space="preserve"> 2021</w:t>
            </w:r>
          </w:p>
        </w:tc>
        <w:tc>
          <w:tcPr>
            <w:tcW w:w="7229" w:type="dxa"/>
          </w:tcPr>
          <w:p w14:paraId="058A4452" w14:textId="77777777" w:rsidR="003B6836" w:rsidRPr="003E5BD3" w:rsidRDefault="003B6836" w:rsidP="00050728">
            <w:pPr>
              <w:tabs>
                <w:tab w:val="left" w:pos="567"/>
              </w:tabs>
              <w:spacing w:before="40" w:after="40"/>
              <w:ind w:right="9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>
              <w:t>upport national IFF pilot measurement</w:t>
            </w:r>
          </w:p>
        </w:tc>
      </w:tr>
      <w:tr w:rsidR="008E78AF" w:rsidRPr="00BB66E4" w14:paraId="3DDE001A" w14:textId="77777777" w:rsidTr="00C77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160606A5" w14:textId="0663BBA7" w:rsidR="008E78AF" w:rsidRPr="00551F58" w:rsidRDefault="00782101" w:rsidP="008E78AF">
            <w:pPr>
              <w:tabs>
                <w:tab w:val="left" w:pos="567"/>
              </w:tabs>
              <w:spacing w:before="40" w:after="40"/>
              <w:ind w:right="95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Early Dec </w:t>
            </w:r>
            <w:r w:rsidR="008E78AF" w:rsidRPr="00597420">
              <w:rPr>
                <w:rFonts w:cstheme="minorHAnsi"/>
              </w:rPr>
              <w:t>2021</w:t>
            </w:r>
          </w:p>
        </w:tc>
        <w:tc>
          <w:tcPr>
            <w:tcW w:w="7229" w:type="dxa"/>
          </w:tcPr>
          <w:p w14:paraId="0039A0E4" w14:textId="427E9B4B" w:rsidR="008E78AF" w:rsidRPr="003E5BD3" w:rsidRDefault="00536F27" w:rsidP="008E78AF">
            <w:pPr>
              <w:tabs>
                <w:tab w:val="left" w:pos="567"/>
              </w:tabs>
              <w:spacing w:before="40" w:after="40"/>
              <w:ind w:right="9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 challenges and findings of </w:t>
            </w:r>
            <w:r>
              <w:t xml:space="preserve">the </w:t>
            </w:r>
            <w:r w:rsidR="005340B9">
              <w:t xml:space="preserve">pilot </w:t>
            </w:r>
          </w:p>
        </w:tc>
      </w:tr>
      <w:tr w:rsidR="002169F7" w:rsidRPr="0087797B" w14:paraId="4913BB78" w14:textId="77777777" w:rsidTr="00050728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shd w:val="clear" w:color="auto" w:fill="DEEAF6" w:themeFill="accent5" w:themeFillTint="33"/>
          </w:tcPr>
          <w:p w14:paraId="04B23E13" w14:textId="77777777" w:rsidR="002169F7" w:rsidRPr="0087797B" w:rsidRDefault="002169F7" w:rsidP="00050728">
            <w:pPr>
              <w:tabs>
                <w:tab w:val="left" w:pos="567"/>
              </w:tabs>
              <w:spacing w:before="40" w:after="40"/>
              <w:ind w:right="95"/>
              <w:jc w:val="both"/>
              <w:rPr>
                <w:rFonts w:cstheme="minorHAnsi"/>
              </w:rPr>
            </w:pPr>
            <w:r w:rsidRPr="0087797B">
              <w:rPr>
                <w:rFonts w:cstheme="minorHAnsi"/>
              </w:rPr>
              <w:t xml:space="preserve">Phase </w:t>
            </w:r>
            <w:r>
              <w:rPr>
                <w:rFonts w:cstheme="minorHAnsi"/>
              </w:rPr>
              <w:t>2</w:t>
            </w:r>
          </w:p>
        </w:tc>
        <w:tc>
          <w:tcPr>
            <w:tcW w:w="7229" w:type="dxa"/>
            <w:shd w:val="clear" w:color="auto" w:fill="DEEAF6" w:themeFill="accent5" w:themeFillTint="33"/>
          </w:tcPr>
          <w:p w14:paraId="450417D9" w14:textId="2F7EB309" w:rsidR="002169F7" w:rsidRPr="0087797B" w:rsidRDefault="000A7DEE" w:rsidP="00050728">
            <w:pPr>
              <w:tabs>
                <w:tab w:val="left" w:pos="567"/>
              </w:tabs>
              <w:spacing w:before="40" w:after="40"/>
              <w:ind w:right="9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Reporting and next steps </w:t>
            </w:r>
          </w:p>
        </w:tc>
      </w:tr>
      <w:tr w:rsidR="008E78AF" w:rsidRPr="00BB66E4" w14:paraId="617F5FA5" w14:textId="77777777" w:rsidTr="00C77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23456E44" w14:textId="4BEC7926" w:rsidR="008E78AF" w:rsidRPr="00597420" w:rsidRDefault="00F7342B" w:rsidP="008E78AF">
            <w:pPr>
              <w:tabs>
                <w:tab w:val="left" w:pos="567"/>
              </w:tabs>
              <w:spacing w:before="40" w:after="40"/>
              <w:ind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  <w:r w:rsidR="008E78AF">
              <w:rPr>
                <w:rFonts w:cstheme="minorHAnsi"/>
              </w:rPr>
              <w:t xml:space="preserve"> 2021</w:t>
            </w:r>
          </w:p>
        </w:tc>
        <w:tc>
          <w:tcPr>
            <w:tcW w:w="7229" w:type="dxa"/>
          </w:tcPr>
          <w:p w14:paraId="39A3F1C8" w14:textId="07A6D02A" w:rsidR="008E78AF" w:rsidRPr="003E5BD3" w:rsidRDefault="00137268" w:rsidP="008E78AF">
            <w:pPr>
              <w:tabs>
                <w:tab w:val="left" w:pos="567"/>
              </w:tabs>
              <w:spacing w:before="40" w:after="40"/>
              <w:ind w:right="9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Discuss the r</w:t>
            </w:r>
            <w:r w:rsidR="008E78AF">
              <w:rPr>
                <w:rFonts w:cstheme="minorHAnsi"/>
              </w:rPr>
              <w:t xml:space="preserve">eport on </w:t>
            </w:r>
            <w:r w:rsidR="00F7342B">
              <w:rPr>
                <w:rFonts w:cstheme="minorHAnsi"/>
              </w:rPr>
              <w:t xml:space="preserve">the </w:t>
            </w:r>
            <w:r w:rsidR="008B0447">
              <w:rPr>
                <w:rFonts w:cstheme="minorHAnsi"/>
              </w:rPr>
              <w:t xml:space="preserve">outcomes </w:t>
            </w:r>
            <w:r w:rsidR="008E78AF">
              <w:rPr>
                <w:rFonts w:cstheme="minorHAnsi"/>
              </w:rPr>
              <w:t>of pilot testing</w:t>
            </w:r>
          </w:p>
        </w:tc>
      </w:tr>
      <w:tr w:rsidR="006D6795" w:rsidRPr="00BB66E4" w14:paraId="6FD98CEE" w14:textId="77777777" w:rsidTr="00C77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1D38AEC8" w14:textId="73458A6D" w:rsidR="006D6795" w:rsidRPr="003E5BD3" w:rsidRDefault="006D6795" w:rsidP="00072053">
            <w:pPr>
              <w:tabs>
                <w:tab w:val="left" w:pos="567"/>
              </w:tabs>
              <w:spacing w:before="40" w:after="40"/>
              <w:ind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Dec 2021</w:t>
            </w:r>
          </w:p>
        </w:tc>
        <w:tc>
          <w:tcPr>
            <w:tcW w:w="7229" w:type="dxa"/>
          </w:tcPr>
          <w:p w14:paraId="2296020E" w14:textId="377F951C" w:rsidR="006D6795" w:rsidRPr="003E5BD3" w:rsidRDefault="00B10C77" w:rsidP="00072053">
            <w:pPr>
              <w:tabs>
                <w:tab w:val="left" w:pos="567"/>
              </w:tabs>
              <w:spacing w:before="40" w:after="40"/>
              <w:ind w:right="9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2A4A78">
              <w:rPr>
                <w:rFonts w:cstheme="minorHAnsi"/>
              </w:rPr>
              <w:t xml:space="preserve">gree on an </w:t>
            </w:r>
            <w:r>
              <w:rPr>
                <w:rFonts w:cstheme="minorHAnsi"/>
              </w:rPr>
              <w:t xml:space="preserve">initial </w:t>
            </w:r>
            <w:r w:rsidR="001E1D8F" w:rsidRPr="001E1D8F">
              <w:rPr>
                <w:rFonts w:cstheme="minorHAnsi"/>
              </w:rPr>
              <w:t xml:space="preserve">action plan for future measurement of IFFs </w:t>
            </w:r>
          </w:p>
        </w:tc>
      </w:tr>
      <w:tr w:rsidR="006D6795" w:rsidRPr="0087797B" w14:paraId="5FA45FCB" w14:textId="77777777" w:rsidTr="00C7716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2AF9F220" w14:textId="56A5A89C" w:rsidR="006D6795" w:rsidRPr="0087797B" w:rsidRDefault="00EA12C2" w:rsidP="006D6795">
            <w:pPr>
              <w:tabs>
                <w:tab w:val="left" w:pos="567"/>
              </w:tabs>
              <w:spacing w:before="40" w:after="40"/>
              <w:ind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Jan</w:t>
            </w:r>
            <w:r w:rsidR="005D5936">
              <w:rPr>
                <w:rFonts w:cstheme="minorHAnsi"/>
              </w:rPr>
              <w:t>-</w:t>
            </w:r>
            <w:r w:rsidR="0057343B">
              <w:rPr>
                <w:rFonts w:cstheme="minorHAnsi"/>
              </w:rPr>
              <w:t>Mar</w:t>
            </w:r>
            <w:r>
              <w:rPr>
                <w:rFonts w:cstheme="minorHAnsi"/>
              </w:rPr>
              <w:t xml:space="preserve"> 2022</w:t>
            </w:r>
          </w:p>
        </w:tc>
        <w:tc>
          <w:tcPr>
            <w:tcW w:w="7229" w:type="dxa"/>
          </w:tcPr>
          <w:p w14:paraId="51CA7982" w14:textId="1562CEAD" w:rsidR="006D6795" w:rsidRPr="0087797B" w:rsidRDefault="00EE7656" w:rsidP="006D6795">
            <w:pPr>
              <w:tabs>
                <w:tab w:val="left" w:pos="567"/>
              </w:tabs>
              <w:spacing w:before="40" w:after="40"/>
              <w:ind w:right="9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Reach out to stakeholders </w:t>
            </w:r>
            <w:r w:rsidR="002D4B86">
              <w:rPr>
                <w:rFonts w:cstheme="minorHAnsi"/>
              </w:rPr>
              <w:t xml:space="preserve">to </w:t>
            </w:r>
            <w:r w:rsidR="008625E0">
              <w:rPr>
                <w:rFonts w:cstheme="minorHAnsi"/>
              </w:rPr>
              <w:t xml:space="preserve">share </w:t>
            </w:r>
            <w:r w:rsidR="008B0447">
              <w:rPr>
                <w:rFonts w:cstheme="minorHAnsi"/>
              </w:rPr>
              <w:t xml:space="preserve">outcomes </w:t>
            </w:r>
            <w:r w:rsidR="0057343B">
              <w:rPr>
                <w:rFonts w:cstheme="minorHAnsi"/>
              </w:rPr>
              <w:t>and mobilize support</w:t>
            </w:r>
          </w:p>
        </w:tc>
      </w:tr>
      <w:tr w:rsidR="00DE2961" w:rsidRPr="0087797B" w14:paraId="698D076A" w14:textId="77777777" w:rsidTr="00050728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2A1DE27E" w14:textId="07DD6316" w:rsidR="00DE2961" w:rsidRPr="0087797B" w:rsidRDefault="00DE2961" w:rsidP="00050728">
            <w:pPr>
              <w:tabs>
                <w:tab w:val="left" w:pos="567"/>
              </w:tabs>
              <w:spacing w:before="40" w:after="40"/>
              <w:ind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  <w:r w:rsidR="00B10C77">
              <w:rPr>
                <w:rFonts w:cstheme="minorHAnsi"/>
              </w:rPr>
              <w:t>-Mar</w:t>
            </w:r>
            <w:r>
              <w:rPr>
                <w:rFonts w:cstheme="minorHAnsi"/>
              </w:rPr>
              <w:t xml:space="preserve"> 2022</w:t>
            </w:r>
          </w:p>
        </w:tc>
        <w:tc>
          <w:tcPr>
            <w:tcW w:w="7229" w:type="dxa"/>
          </w:tcPr>
          <w:p w14:paraId="5786CDAB" w14:textId="67EDC8DE" w:rsidR="00DE2961" w:rsidRDefault="00E34420" w:rsidP="00050728">
            <w:pPr>
              <w:tabs>
                <w:tab w:val="left" w:pos="567"/>
              </w:tabs>
              <w:spacing w:before="40" w:after="40"/>
              <w:ind w:right="9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Refine the action plan, </w:t>
            </w:r>
            <w:r w:rsidR="00A83C17">
              <w:rPr>
                <w:rFonts w:cstheme="minorHAnsi"/>
              </w:rPr>
              <w:t xml:space="preserve">if </w:t>
            </w:r>
            <w:r>
              <w:rPr>
                <w:rFonts w:cstheme="minorHAnsi"/>
              </w:rPr>
              <w:t>needed, based on stakeholder feedback</w:t>
            </w:r>
            <w:r w:rsidR="00DE2961">
              <w:rPr>
                <w:rFonts w:cstheme="minorHAnsi"/>
              </w:rPr>
              <w:t xml:space="preserve"> </w:t>
            </w:r>
          </w:p>
        </w:tc>
      </w:tr>
      <w:tr w:rsidR="006D6795" w:rsidRPr="0087797B" w14:paraId="79289586" w14:textId="77777777" w:rsidTr="00C7716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1BE01507" w14:textId="4A7D5CB7" w:rsidR="006D6795" w:rsidRPr="0087797B" w:rsidRDefault="00EA12C2" w:rsidP="006D6795">
            <w:pPr>
              <w:tabs>
                <w:tab w:val="left" w:pos="567"/>
              </w:tabs>
              <w:spacing w:before="40" w:after="40"/>
              <w:ind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Jan 2022 -&gt;</w:t>
            </w:r>
          </w:p>
        </w:tc>
        <w:tc>
          <w:tcPr>
            <w:tcW w:w="7229" w:type="dxa"/>
          </w:tcPr>
          <w:p w14:paraId="7E936F7A" w14:textId="19358EE5" w:rsidR="006D6795" w:rsidRDefault="0057343B" w:rsidP="006D6795">
            <w:pPr>
              <w:tabs>
                <w:tab w:val="left" w:pos="567"/>
              </w:tabs>
              <w:spacing w:before="40" w:after="40"/>
              <w:ind w:right="9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B86557">
              <w:rPr>
                <w:rFonts w:cstheme="minorHAnsi"/>
              </w:rPr>
              <w:t>oordinate efforts to</w:t>
            </w:r>
            <w:r w:rsidR="005D5936">
              <w:rPr>
                <w:rFonts w:cstheme="minorHAnsi"/>
              </w:rPr>
              <w:t xml:space="preserve">wards reporting on SDG </w:t>
            </w:r>
            <w:r>
              <w:rPr>
                <w:rFonts w:cstheme="minorHAnsi"/>
              </w:rPr>
              <w:t xml:space="preserve">indicator </w:t>
            </w:r>
            <w:r w:rsidR="005D5936">
              <w:rPr>
                <w:rFonts w:cstheme="minorHAnsi"/>
              </w:rPr>
              <w:t>16.4.1</w:t>
            </w:r>
            <w:r>
              <w:rPr>
                <w:rFonts w:cstheme="minorHAnsi"/>
              </w:rPr>
              <w:t xml:space="preserve"> on IFFs</w:t>
            </w:r>
            <w:r w:rsidR="005D5936">
              <w:rPr>
                <w:rFonts w:cstheme="minorHAnsi"/>
              </w:rPr>
              <w:t xml:space="preserve"> </w:t>
            </w:r>
          </w:p>
        </w:tc>
      </w:tr>
    </w:tbl>
    <w:p w14:paraId="0E190F9C" w14:textId="77777777" w:rsidR="00E760FD" w:rsidRPr="00E760FD" w:rsidRDefault="00E760FD" w:rsidP="00E760FD">
      <w:pPr>
        <w:rPr>
          <w:lang w:val="en-US"/>
        </w:rPr>
      </w:pPr>
    </w:p>
    <w:p w14:paraId="5890BB9F" w14:textId="4510AAF6" w:rsidR="0064333C" w:rsidRPr="0064333C" w:rsidRDefault="0064333C" w:rsidP="004F68FD">
      <w:pPr>
        <w:pStyle w:val="Heading3"/>
        <w:numPr>
          <w:ilvl w:val="0"/>
          <w:numId w:val="8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Members</w:t>
      </w:r>
    </w:p>
    <w:p w14:paraId="1C4EAC88" w14:textId="113D953B" w:rsidR="001237B1" w:rsidRDefault="001237B1" w:rsidP="00012DA5">
      <w:pPr>
        <w:spacing w:after="0"/>
        <w:jc w:val="both"/>
        <w:rPr>
          <w:rFonts w:eastAsia="Times New Roman"/>
          <w:lang w:val="en-US"/>
        </w:rPr>
      </w:pPr>
    </w:p>
    <w:p w14:paraId="32F3B214" w14:textId="78123C0B" w:rsidR="00E760FD" w:rsidRDefault="00E760FD" w:rsidP="00E760FD">
      <w:pPr>
        <w:pStyle w:val="ListParagraph"/>
        <w:widowControl w:val="0"/>
        <w:numPr>
          <w:ilvl w:val="1"/>
          <w:numId w:val="7"/>
        </w:numPr>
        <w:spacing w:afterLines="120" w:after="288" w:line="240" w:lineRule="atLeast"/>
        <w:ind w:left="0" w:right="95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The TWG-IFFs will be composed of statistical </w:t>
      </w:r>
      <w:r w:rsidR="00C016C0">
        <w:rPr>
          <w:rFonts w:cstheme="minorHAnsi"/>
        </w:rPr>
        <w:t xml:space="preserve">and IFF </w:t>
      </w:r>
      <w:r>
        <w:rPr>
          <w:rFonts w:cstheme="minorHAnsi"/>
        </w:rPr>
        <w:t>experts of [</w:t>
      </w:r>
      <w:r w:rsidRPr="00C3349A">
        <w:rPr>
          <w:rFonts w:cstheme="minorHAnsi"/>
          <w:i/>
          <w:iCs/>
        </w:rPr>
        <w:t>list national agencies and relevant stakeholders</w:t>
      </w:r>
      <w:r>
        <w:rPr>
          <w:rFonts w:cstheme="minorHAnsi"/>
        </w:rPr>
        <w:t xml:space="preserve">]. Members with contact details are presented in </w:t>
      </w:r>
      <w:r w:rsidR="001C2D92">
        <w:rPr>
          <w:rFonts w:cstheme="minorHAnsi"/>
        </w:rPr>
        <w:t xml:space="preserve">the </w:t>
      </w:r>
      <w:r>
        <w:rPr>
          <w:rFonts w:cstheme="minorHAnsi"/>
        </w:rPr>
        <w:t>table</w:t>
      </w:r>
      <w:r w:rsidR="001C2D92">
        <w:rPr>
          <w:rFonts w:cstheme="minorHAnsi"/>
        </w:rPr>
        <w:t xml:space="preserve"> 1</w:t>
      </w:r>
      <w:r>
        <w:rPr>
          <w:rFonts w:cstheme="minorHAnsi"/>
        </w:rPr>
        <w:t xml:space="preserve"> in Annex. </w:t>
      </w:r>
    </w:p>
    <w:p w14:paraId="4A037ACA" w14:textId="5E2D16CF" w:rsidR="00E760FD" w:rsidRPr="009A5F4A" w:rsidRDefault="007B5402" w:rsidP="00E760FD">
      <w:pPr>
        <w:pStyle w:val="ListParagraph"/>
        <w:widowControl w:val="0"/>
        <w:numPr>
          <w:ilvl w:val="1"/>
          <w:numId w:val="7"/>
        </w:numPr>
        <w:spacing w:afterLines="120" w:after="288" w:line="240" w:lineRule="atLeast"/>
        <w:ind w:left="0" w:right="95" w:firstLine="0"/>
        <w:contextualSpacing w:val="0"/>
        <w:jc w:val="both"/>
      </w:pPr>
      <w:r>
        <w:rPr>
          <w:rFonts w:cstheme="minorHAnsi"/>
        </w:rPr>
        <w:t>[</w:t>
      </w:r>
      <w:r w:rsidRPr="00C3349A">
        <w:rPr>
          <w:rFonts w:cstheme="minorHAnsi"/>
          <w:i/>
          <w:iCs/>
        </w:rPr>
        <w:t>Institution</w:t>
      </w:r>
      <w:r>
        <w:rPr>
          <w:rFonts w:cstheme="minorHAnsi"/>
        </w:rPr>
        <w:t>]</w:t>
      </w:r>
      <w:r w:rsidR="00E760FD" w:rsidRPr="003E5BD3">
        <w:rPr>
          <w:rFonts w:cstheme="minorHAnsi"/>
        </w:rPr>
        <w:t xml:space="preserve"> will act as</w:t>
      </w:r>
      <w:r w:rsidR="00E760FD">
        <w:rPr>
          <w:rFonts w:cstheme="minorHAnsi"/>
        </w:rPr>
        <w:t xml:space="preserve"> Secretariat to the </w:t>
      </w:r>
      <w:r>
        <w:rPr>
          <w:rFonts w:cstheme="minorHAnsi"/>
        </w:rPr>
        <w:t>TWG-IFFs</w:t>
      </w:r>
      <w:r w:rsidR="00E760FD">
        <w:rPr>
          <w:rFonts w:cstheme="minorHAnsi"/>
        </w:rPr>
        <w:t>.</w:t>
      </w:r>
    </w:p>
    <w:p w14:paraId="02D0F685" w14:textId="13233E61" w:rsidR="009A5F4A" w:rsidRDefault="009A5F4A" w:rsidP="00E760FD">
      <w:pPr>
        <w:pStyle w:val="ListParagraph"/>
        <w:widowControl w:val="0"/>
        <w:numPr>
          <w:ilvl w:val="1"/>
          <w:numId w:val="7"/>
        </w:numPr>
        <w:spacing w:afterLines="120" w:after="288" w:line="240" w:lineRule="atLeast"/>
        <w:ind w:left="0" w:right="95" w:firstLine="0"/>
        <w:contextualSpacing w:val="0"/>
        <w:jc w:val="both"/>
      </w:pPr>
      <w:r>
        <w:t>[</w:t>
      </w:r>
      <w:r w:rsidRPr="00C3349A">
        <w:rPr>
          <w:i/>
          <w:iCs/>
        </w:rPr>
        <w:t>Name</w:t>
      </w:r>
      <w:r>
        <w:t>]</w:t>
      </w:r>
      <w:r w:rsidRPr="009A5F4A">
        <w:t xml:space="preserve"> will act as Focal Point of the TWG-IFFs to UNCTAD/UNECA Team.</w:t>
      </w:r>
    </w:p>
    <w:p w14:paraId="0292B847" w14:textId="77777777" w:rsidR="001237B1" w:rsidRDefault="001237B1" w:rsidP="00012DA5">
      <w:pPr>
        <w:spacing w:after="0"/>
        <w:jc w:val="both"/>
        <w:rPr>
          <w:rFonts w:eastAsia="Times New Roman"/>
          <w:lang w:val="en-US"/>
        </w:rPr>
      </w:pPr>
    </w:p>
    <w:p w14:paraId="7D12370C" w14:textId="77777777" w:rsidR="00084026" w:rsidRDefault="00084026">
      <w:pPr>
        <w:rPr>
          <w:rFonts w:asciiTheme="majorHAnsi" w:eastAsia="Times New Roman" w:hAnsiTheme="majorHAnsi" w:cstheme="majorBidi"/>
          <w:color w:val="1F3763" w:themeColor="accent1" w:themeShade="7F"/>
          <w:sz w:val="24"/>
          <w:szCs w:val="24"/>
          <w:lang w:val="en-US"/>
        </w:rPr>
      </w:pPr>
      <w:r>
        <w:rPr>
          <w:rFonts w:eastAsia="Times New Roman"/>
          <w:lang w:val="en-US"/>
        </w:rPr>
        <w:br w:type="page"/>
      </w:r>
    </w:p>
    <w:p w14:paraId="3FE1FD35" w14:textId="2B44C32B" w:rsidR="00584817" w:rsidRDefault="00E760FD" w:rsidP="00E760FD">
      <w:pPr>
        <w:pStyle w:val="Heading3"/>
        <w:rPr>
          <w:rFonts w:eastAsia="Times New Roman"/>
          <w:lang w:val="en-US"/>
        </w:rPr>
      </w:pPr>
      <w:r>
        <w:rPr>
          <w:rFonts w:eastAsia="Times New Roman"/>
          <w:lang w:val="en-US"/>
        </w:rPr>
        <w:lastRenderedPageBreak/>
        <w:t>Annex</w:t>
      </w:r>
      <w:r w:rsidR="00943BA7">
        <w:rPr>
          <w:rFonts w:eastAsia="Times New Roman"/>
          <w:lang w:val="en-US"/>
        </w:rPr>
        <w:t xml:space="preserve"> 1. Membership of TWG-IFFs</w:t>
      </w:r>
    </w:p>
    <w:p w14:paraId="0C80319E" w14:textId="08001DAB" w:rsidR="00E760FD" w:rsidRDefault="00E760FD" w:rsidP="00E760FD">
      <w:pPr>
        <w:pStyle w:val="Heading4"/>
        <w:rPr>
          <w:rFonts w:eastAsia="Times New Roman"/>
          <w:lang w:val="en-US"/>
        </w:rPr>
      </w:pPr>
    </w:p>
    <w:tbl>
      <w:tblPr>
        <w:tblStyle w:val="GridTable1Light-Accent1"/>
        <w:tblW w:w="9625" w:type="dxa"/>
        <w:tblLook w:val="04A0" w:firstRow="1" w:lastRow="0" w:firstColumn="1" w:lastColumn="0" w:noHBand="0" w:noVBand="1"/>
      </w:tblPr>
      <w:tblGrid>
        <w:gridCol w:w="460"/>
        <w:gridCol w:w="2937"/>
        <w:gridCol w:w="2552"/>
        <w:gridCol w:w="3676"/>
      </w:tblGrid>
      <w:tr w:rsidR="00E760FD" w:rsidRPr="00116FA6" w14:paraId="418F1D65" w14:textId="77777777" w:rsidTr="00313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67DF99AA" w14:textId="77777777" w:rsidR="00E760FD" w:rsidRPr="00116FA6" w:rsidRDefault="00E760FD" w:rsidP="0007205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37" w:type="dxa"/>
            <w:noWrap/>
            <w:vAlign w:val="center"/>
            <w:hideMark/>
          </w:tcPr>
          <w:p w14:paraId="0816FFC1" w14:textId="77777777" w:rsidR="00E760FD" w:rsidRPr="00116FA6" w:rsidRDefault="00E760FD" w:rsidP="00072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bookmarkStart w:id="0" w:name="_Hlk9243515"/>
            <w:r w:rsidRPr="00116FA6">
              <w:rPr>
                <w:rFonts w:eastAsia="Times New Roman" w:cstheme="minorHAnsi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552" w:type="dxa"/>
            <w:vAlign w:val="center"/>
          </w:tcPr>
          <w:p w14:paraId="72F6FAB8" w14:textId="77777777" w:rsidR="00E760FD" w:rsidRDefault="00E760FD" w:rsidP="00072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Contact details </w:t>
            </w:r>
          </w:p>
          <w:p w14:paraId="755E3F4A" w14:textId="077D74D0" w:rsidR="00E760FD" w:rsidRPr="00116FA6" w:rsidRDefault="00E760FD" w:rsidP="00072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(e-mail address)</w:t>
            </w:r>
          </w:p>
        </w:tc>
        <w:tc>
          <w:tcPr>
            <w:tcW w:w="3676" w:type="dxa"/>
            <w:vAlign w:val="center"/>
          </w:tcPr>
          <w:p w14:paraId="3BAEF238" w14:textId="77777777" w:rsidR="00E760FD" w:rsidRPr="00116FA6" w:rsidRDefault="00E760FD" w:rsidP="00072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6FA6">
              <w:rPr>
                <w:rFonts w:eastAsia="Times New Roman" w:cstheme="minorHAnsi"/>
                <w:sz w:val="24"/>
                <w:szCs w:val="24"/>
                <w:lang w:eastAsia="en-GB"/>
              </w:rPr>
              <w:t>Organisation</w:t>
            </w:r>
          </w:p>
        </w:tc>
      </w:tr>
      <w:tr w:rsidR="00E760FD" w:rsidRPr="00116FA6" w14:paraId="35D30A11" w14:textId="77777777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2A67775F" w14:textId="77777777" w:rsidR="00E760FD" w:rsidRPr="008D3CC9" w:rsidRDefault="00E760FD" w:rsidP="0007205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937" w:type="dxa"/>
            <w:noWrap/>
            <w:vAlign w:val="center"/>
          </w:tcPr>
          <w:p w14:paraId="5E5B3C85" w14:textId="2E5E30FA" w:rsidR="00E760FD" w:rsidRPr="008D3CC9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vAlign w:val="center"/>
          </w:tcPr>
          <w:p w14:paraId="6D2D9F51" w14:textId="38FBC916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14:paraId="0A45E0F0" w14:textId="59DE1C98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760FD" w:rsidRPr="00116FA6" w14:paraId="4231FF07" w14:textId="77777777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7C35EE76" w14:textId="77777777" w:rsidR="00E760FD" w:rsidRPr="008D3CC9" w:rsidRDefault="00E760FD" w:rsidP="0007205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937" w:type="dxa"/>
            <w:noWrap/>
            <w:vAlign w:val="center"/>
          </w:tcPr>
          <w:p w14:paraId="3C0A1F3A" w14:textId="277B2A77" w:rsidR="00E760FD" w:rsidRPr="008D3CC9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vAlign w:val="center"/>
          </w:tcPr>
          <w:p w14:paraId="6B5CBF5F" w14:textId="33DC5A26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14:paraId="60268E67" w14:textId="6E89B472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760FD" w:rsidRPr="00116FA6" w14:paraId="2FB6ED70" w14:textId="77777777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131181D1" w14:textId="77777777" w:rsidR="00E760FD" w:rsidRPr="00116FA6" w:rsidRDefault="00E760FD" w:rsidP="0007205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937" w:type="dxa"/>
            <w:noWrap/>
            <w:vAlign w:val="center"/>
          </w:tcPr>
          <w:p w14:paraId="21ADF356" w14:textId="226D23EB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vAlign w:val="center"/>
          </w:tcPr>
          <w:p w14:paraId="295CFDDD" w14:textId="42CBE06A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76" w:type="dxa"/>
            <w:vAlign w:val="center"/>
          </w:tcPr>
          <w:p w14:paraId="6F83D608" w14:textId="3B18D5B9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760FD" w:rsidRPr="00116FA6" w14:paraId="11809C41" w14:textId="77777777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17BFB755" w14:textId="77777777" w:rsidR="00E760FD" w:rsidRPr="00116FA6" w:rsidRDefault="00E760FD" w:rsidP="00072053">
            <w:pPr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fi-FI" w:eastAsia="en-GB"/>
              </w:rPr>
              <w:t>4</w:t>
            </w:r>
          </w:p>
        </w:tc>
        <w:tc>
          <w:tcPr>
            <w:tcW w:w="2937" w:type="dxa"/>
            <w:noWrap/>
            <w:vAlign w:val="center"/>
          </w:tcPr>
          <w:p w14:paraId="30E902F5" w14:textId="16EAF5D2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val="fi-FI" w:eastAsia="en-GB"/>
              </w:rPr>
            </w:pPr>
          </w:p>
        </w:tc>
        <w:tc>
          <w:tcPr>
            <w:tcW w:w="2552" w:type="dxa"/>
            <w:vAlign w:val="center"/>
          </w:tcPr>
          <w:p w14:paraId="76234AFD" w14:textId="509C4AB6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76" w:type="dxa"/>
            <w:vAlign w:val="center"/>
          </w:tcPr>
          <w:p w14:paraId="4300D1E2" w14:textId="5007A6F1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760FD" w:rsidRPr="00116FA6" w14:paraId="090D530D" w14:textId="77777777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0DF7123A" w14:textId="77777777" w:rsidR="00E760FD" w:rsidRPr="00116FA6" w:rsidRDefault="00E760FD" w:rsidP="0007205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937" w:type="dxa"/>
            <w:noWrap/>
            <w:vAlign w:val="center"/>
          </w:tcPr>
          <w:p w14:paraId="5A82FFC7" w14:textId="64EFEC89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vAlign w:val="center"/>
          </w:tcPr>
          <w:p w14:paraId="6E9B64C9" w14:textId="4B06F4F3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76" w:type="dxa"/>
            <w:vAlign w:val="center"/>
          </w:tcPr>
          <w:p w14:paraId="5A7657A6" w14:textId="4EE53AA0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760FD" w:rsidRPr="00116FA6" w14:paraId="25454468" w14:textId="77777777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5F37C1BC" w14:textId="77777777" w:rsidR="00E760FD" w:rsidRPr="007000B6" w:rsidRDefault="00E760FD" w:rsidP="00072053">
            <w:pPr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2937" w:type="dxa"/>
            <w:noWrap/>
            <w:vAlign w:val="center"/>
          </w:tcPr>
          <w:p w14:paraId="7B1B07A4" w14:textId="3784B026" w:rsidR="00E760FD" w:rsidRPr="007000B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552" w:type="dxa"/>
            <w:vAlign w:val="center"/>
          </w:tcPr>
          <w:p w14:paraId="57012692" w14:textId="632C59FA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14:paraId="6231A2F4" w14:textId="635230F0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760FD" w:rsidRPr="00116FA6" w14:paraId="340CE81B" w14:textId="77777777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6D5E147B" w14:textId="77777777" w:rsidR="00E760FD" w:rsidRPr="00116FA6" w:rsidRDefault="00E760FD" w:rsidP="00072053">
            <w:pPr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fi-FI" w:eastAsia="en-GB"/>
              </w:rPr>
              <w:t>7</w:t>
            </w:r>
          </w:p>
        </w:tc>
        <w:tc>
          <w:tcPr>
            <w:tcW w:w="2937" w:type="dxa"/>
            <w:noWrap/>
            <w:vAlign w:val="center"/>
          </w:tcPr>
          <w:p w14:paraId="601C59CC" w14:textId="51375C5D" w:rsidR="00E760FD" w:rsidRPr="006C347E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552" w:type="dxa"/>
            <w:vAlign w:val="center"/>
          </w:tcPr>
          <w:p w14:paraId="3AADDCBF" w14:textId="0FE14C43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3676" w:type="dxa"/>
            <w:vAlign w:val="center"/>
          </w:tcPr>
          <w:p w14:paraId="3AFA6BF8" w14:textId="786683F5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760FD" w:rsidRPr="00116FA6" w14:paraId="3519368A" w14:textId="77777777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6E311392" w14:textId="77777777" w:rsidR="00E760FD" w:rsidRPr="00733391" w:rsidRDefault="00E760FD" w:rsidP="00072053">
            <w:pPr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fi-FI" w:eastAsia="en-GB"/>
              </w:rPr>
              <w:t>8</w:t>
            </w:r>
          </w:p>
        </w:tc>
        <w:tc>
          <w:tcPr>
            <w:tcW w:w="2937" w:type="dxa"/>
            <w:noWrap/>
            <w:vAlign w:val="center"/>
          </w:tcPr>
          <w:p w14:paraId="0E47006A" w14:textId="6DD2EB93" w:rsidR="00E760FD" w:rsidRPr="004A74BD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vAlign w:val="center"/>
          </w:tcPr>
          <w:p w14:paraId="54E78918" w14:textId="34E26F41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3676" w:type="dxa"/>
            <w:vAlign w:val="center"/>
          </w:tcPr>
          <w:p w14:paraId="51834C76" w14:textId="53DF3433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760FD" w:rsidRPr="00116FA6" w14:paraId="33B0104E" w14:textId="77777777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FFFFFF" w:themeFill="background1"/>
            <w:vAlign w:val="center"/>
          </w:tcPr>
          <w:p w14:paraId="234E26A6" w14:textId="77777777" w:rsidR="00E760FD" w:rsidRPr="00116FA6" w:rsidRDefault="00E760FD" w:rsidP="0007205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937" w:type="dxa"/>
            <w:shd w:val="clear" w:color="auto" w:fill="FFFFFF" w:themeFill="background1"/>
            <w:noWrap/>
            <w:vAlign w:val="center"/>
          </w:tcPr>
          <w:p w14:paraId="082D71F8" w14:textId="218E02C8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279EB65" w14:textId="6E327A62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FFFFFF" w:themeFill="background1"/>
            <w:vAlign w:val="center"/>
          </w:tcPr>
          <w:p w14:paraId="2A48534A" w14:textId="4FA453DF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760FD" w:rsidRPr="00116FA6" w14:paraId="21FFE78A" w14:textId="77777777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046E52B0" w14:textId="77777777" w:rsidR="00E760FD" w:rsidRPr="00116FA6" w:rsidRDefault="00E760FD" w:rsidP="0007205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937" w:type="dxa"/>
            <w:noWrap/>
            <w:vAlign w:val="center"/>
          </w:tcPr>
          <w:p w14:paraId="1766CEF4" w14:textId="3F064743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vAlign w:val="center"/>
          </w:tcPr>
          <w:p w14:paraId="5E1E3623" w14:textId="7DEE6E31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76" w:type="dxa"/>
            <w:vAlign w:val="center"/>
          </w:tcPr>
          <w:p w14:paraId="480FD234" w14:textId="600D6BD3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760FD" w:rsidRPr="00116FA6" w14:paraId="50A49EFF" w14:textId="77777777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71625A05" w14:textId="77777777" w:rsidR="00E760FD" w:rsidRPr="00116FA6" w:rsidRDefault="00E760FD" w:rsidP="0007205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937" w:type="dxa"/>
            <w:noWrap/>
            <w:vAlign w:val="center"/>
          </w:tcPr>
          <w:p w14:paraId="65245731" w14:textId="1A82C144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vAlign w:val="center"/>
          </w:tcPr>
          <w:p w14:paraId="3E31E9DD" w14:textId="6C5F2E5E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76" w:type="dxa"/>
            <w:vAlign w:val="center"/>
          </w:tcPr>
          <w:p w14:paraId="1BE58ED1" w14:textId="6EE899BF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760FD" w:rsidRPr="00116FA6" w14:paraId="2E90ECB8" w14:textId="77777777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567489E2" w14:textId="77777777" w:rsidR="00E760FD" w:rsidRPr="00116FA6" w:rsidRDefault="00E760FD" w:rsidP="0007205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937" w:type="dxa"/>
            <w:noWrap/>
            <w:vAlign w:val="center"/>
          </w:tcPr>
          <w:p w14:paraId="0B00C659" w14:textId="36B7953D" w:rsidR="00E760FD" w:rsidRPr="002F365C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vAlign w:val="center"/>
          </w:tcPr>
          <w:p w14:paraId="37C60080" w14:textId="2FD91997" w:rsidR="00E760FD" w:rsidRPr="002F365C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14:paraId="420E02DF" w14:textId="253CFD96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760FD" w:rsidRPr="00116FA6" w14:paraId="1640BD78" w14:textId="77777777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08D6222B" w14:textId="77777777" w:rsidR="00E760FD" w:rsidRPr="008B28C4" w:rsidRDefault="00E760FD" w:rsidP="00072053">
            <w:pPr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fi-FI" w:eastAsia="en-GB"/>
              </w:rPr>
              <w:t>13</w:t>
            </w:r>
          </w:p>
        </w:tc>
        <w:tc>
          <w:tcPr>
            <w:tcW w:w="2937" w:type="dxa"/>
            <w:noWrap/>
            <w:vAlign w:val="center"/>
          </w:tcPr>
          <w:p w14:paraId="19E97E80" w14:textId="0BCB4916" w:rsidR="00E760FD" w:rsidRPr="008B28C4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val="fi-FI" w:eastAsia="en-GB"/>
              </w:rPr>
            </w:pPr>
          </w:p>
        </w:tc>
        <w:tc>
          <w:tcPr>
            <w:tcW w:w="2552" w:type="dxa"/>
            <w:vAlign w:val="center"/>
          </w:tcPr>
          <w:p w14:paraId="2DA6B4CA" w14:textId="6133658A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14:paraId="6F727D60" w14:textId="3BE527C4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760FD" w:rsidRPr="00116FA6" w14:paraId="30EA9CC4" w14:textId="77777777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4CB16628" w14:textId="77777777" w:rsidR="00E760FD" w:rsidRPr="00116FA6" w:rsidRDefault="00E760FD" w:rsidP="0007205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937" w:type="dxa"/>
            <w:noWrap/>
            <w:vAlign w:val="center"/>
          </w:tcPr>
          <w:p w14:paraId="4CA8E3E6" w14:textId="3BFA3C0F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vAlign w:val="center"/>
          </w:tcPr>
          <w:p w14:paraId="063BC075" w14:textId="1D5E0BDF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76" w:type="dxa"/>
            <w:vAlign w:val="center"/>
          </w:tcPr>
          <w:p w14:paraId="3D52EA13" w14:textId="10BF7E54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760FD" w:rsidRPr="00116FA6" w14:paraId="1AB12ED8" w14:textId="77777777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38CD815" w14:textId="77777777" w:rsidR="00E760FD" w:rsidRPr="00F75FC4" w:rsidRDefault="00E760FD" w:rsidP="0007205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937" w:type="dxa"/>
            <w:noWrap/>
            <w:vAlign w:val="center"/>
          </w:tcPr>
          <w:p w14:paraId="3D4A5F0B" w14:textId="54C049C5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vAlign w:val="center"/>
          </w:tcPr>
          <w:p w14:paraId="692CF26C" w14:textId="4676C069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14:paraId="7C5D19BC" w14:textId="09DEE152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760FD" w:rsidRPr="00116FA6" w14:paraId="665A3389" w14:textId="77777777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1A5EDD87" w14:textId="77777777" w:rsidR="00E760FD" w:rsidRPr="00116FA6" w:rsidRDefault="00E760FD" w:rsidP="0007205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937" w:type="dxa"/>
            <w:noWrap/>
            <w:vAlign w:val="center"/>
          </w:tcPr>
          <w:p w14:paraId="44653B57" w14:textId="5638B89F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vAlign w:val="center"/>
          </w:tcPr>
          <w:p w14:paraId="7AA25464" w14:textId="3C81AF8E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14:paraId="408C6DB9" w14:textId="6FDAEB4C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760FD" w:rsidRPr="00116FA6" w14:paraId="74C504BB" w14:textId="77777777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2D780D1A" w14:textId="77777777" w:rsidR="00E760FD" w:rsidRPr="008B28C4" w:rsidRDefault="00E760FD" w:rsidP="00072053">
            <w:pPr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fi-FI" w:eastAsia="en-GB"/>
              </w:rPr>
              <w:t>17</w:t>
            </w:r>
          </w:p>
        </w:tc>
        <w:tc>
          <w:tcPr>
            <w:tcW w:w="2937" w:type="dxa"/>
            <w:noWrap/>
            <w:vAlign w:val="center"/>
          </w:tcPr>
          <w:p w14:paraId="700CCC1C" w14:textId="5CC67515" w:rsidR="00E760FD" w:rsidRPr="004A74BD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</w:p>
        </w:tc>
        <w:tc>
          <w:tcPr>
            <w:tcW w:w="2552" w:type="dxa"/>
            <w:vAlign w:val="center"/>
          </w:tcPr>
          <w:p w14:paraId="35FF3965" w14:textId="4348D955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14:paraId="1B49AED6" w14:textId="590F8407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760FD" w:rsidRPr="00116FA6" w14:paraId="4A7F2E9A" w14:textId="77777777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6C066AD9" w14:textId="5D3A0840" w:rsidR="00E760FD" w:rsidRDefault="00E760FD" w:rsidP="00072053">
            <w:pPr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fi-FI" w:eastAsia="en-GB"/>
              </w:rPr>
              <w:t>18</w:t>
            </w:r>
          </w:p>
        </w:tc>
        <w:tc>
          <w:tcPr>
            <w:tcW w:w="2937" w:type="dxa"/>
            <w:noWrap/>
            <w:vAlign w:val="center"/>
          </w:tcPr>
          <w:p w14:paraId="4D3DFA72" w14:textId="77777777" w:rsidR="00E760FD" w:rsidRPr="004A74BD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</w:p>
        </w:tc>
        <w:tc>
          <w:tcPr>
            <w:tcW w:w="2552" w:type="dxa"/>
            <w:vAlign w:val="center"/>
          </w:tcPr>
          <w:p w14:paraId="5DBDCBBE" w14:textId="77777777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14:paraId="553E1A2E" w14:textId="77777777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760FD" w:rsidRPr="00116FA6" w14:paraId="155C5FCB" w14:textId="77777777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2F36B396" w14:textId="49A956B3" w:rsidR="00E760FD" w:rsidRDefault="00E760FD" w:rsidP="00072053">
            <w:pPr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fi-FI" w:eastAsia="en-GB"/>
              </w:rPr>
              <w:t>19</w:t>
            </w:r>
          </w:p>
        </w:tc>
        <w:tc>
          <w:tcPr>
            <w:tcW w:w="2937" w:type="dxa"/>
            <w:noWrap/>
            <w:vAlign w:val="center"/>
          </w:tcPr>
          <w:p w14:paraId="60945DF4" w14:textId="77777777" w:rsidR="00E760FD" w:rsidRPr="004A74BD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</w:p>
        </w:tc>
        <w:tc>
          <w:tcPr>
            <w:tcW w:w="2552" w:type="dxa"/>
            <w:vAlign w:val="center"/>
          </w:tcPr>
          <w:p w14:paraId="36E55007" w14:textId="77777777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14:paraId="163BF616" w14:textId="77777777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760FD" w:rsidRPr="00116FA6" w14:paraId="2EBEA9C0" w14:textId="77777777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C74B759" w14:textId="60E294B3" w:rsidR="00E760FD" w:rsidRDefault="00E760FD" w:rsidP="00072053">
            <w:pPr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fi-FI" w:eastAsia="en-GB"/>
              </w:rPr>
              <w:t>20</w:t>
            </w:r>
          </w:p>
        </w:tc>
        <w:tc>
          <w:tcPr>
            <w:tcW w:w="2937" w:type="dxa"/>
            <w:noWrap/>
            <w:vAlign w:val="center"/>
          </w:tcPr>
          <w:p w14:paraId="64AAAD7E" w14:textId="77777777" w:rsidR="00E760FD" w:rsidRPr="004A74BD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</w:p>
        </w:tc>
        <w:tc>
          <w:tcPr>
            <w:tcW w:w="2552" w:type="dxa"/>
            <w:vAlign w:val="center"/>
          </w:tcPr>
          <w:p w14:paraId="02CEA4A7" w14:textId="77777777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14:paraId="4C8F4108" w14:textId="77777777" w:rsidR="00E760FD" w:rsidRPr="00116FA6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3552944D" w14:textId="77777777" w:rsidR="00E760FD" w:rsidRDefault="00E760FD" w:rsidP="00EA6F2A">
      <w:pPr>
        <w:spacing w:after="0"/>
        <w:jc w:val="both"/>
        <w:rPr>
          <w:rFonts w:eastAsia="Times New Roman"/>
          <w:lang w:val="en-US"/>
        </w:rPr>
      </w:pPr>
    </w:p>
    <w:sectPr w:rsidR="00E760FD" w:rsidSect="00A83C17">
      <w:footerReference w:type="default" r:id="rId11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B38F" w14:textId="77777777" w:rsidR="00572F49" w:rsidRDefault="00572F49" w:rsidP="004C79D5">
      <w:pPr>
        <w:spacing w:after="0" w:line="240" w:lineRule="auto"/>
      </w:pPr>
      <w:r>
        <w:separator/>
      </w:r>
    </w:p>
  </w:endnote>
  <w:endnote w:type="continuationSeparator" w:id="0">
    <w:p w14:paraId="7C1849C3" w14:textId="77777777" w:rsidR="00572F49" w:rsidRDefault="00572F49" w:rsidP="004C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1004897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F3501C" w14:textId="25204541" w:rsidR="007E4721" w:rsidRPr="004C79D5" w:rsidRDefault="007E4721">
        <w:pPr>
          <w:pStyle w:val="Footer"/>
          <w:jc w:val="center"/>
          <w:rPr>
            <w:i/>
            <w:iCs/>
          </w:rPr>
        </w:pPr>
        <w:r w:rsidRPr="004C79D5">
          <w:rPr>
            <w:i/>
            <w:iCs/>
          </w:rPr>
          <w:fldChar w:fldCharType="begin"/>
        </w:r>
        <w:r w:rsidRPr="004C79D5">
          <w:rPr>
            <w:i/>
            <w:iCs/>
          </w:rPr>
          <w:instrText xml:space="preserve"> PAGE   \* MERGEFORMAT </w:instrText>
        </w:r>
        <w:r w:rsidRPr="004C79D5">
          <w:rPr>
            <w:i/>
            <w:iCs/>
          </w:rPr>
          <w:fldChar w:fldCharType="separate"/>
        </w:r>
        <w:r w:rsidRPr="004C79D5">
          <w:rPr>
            <w:i/>
            <w:iCs/>
            <w:noProof/>
          </w:rPr>
          <w:t>2</w:t>
        </w:r>
        <w:r w:rsidRPr="004C79D5">
          <w:rPr>
            <w:i/>
            <w:iCs/>
            <w:noProof/>
          </w:rPr>
          <w:fldChar w:fldCharType="end"/>
        </w:r>
      </w:p>
    </w:sdtContent>
  </w:sdt>
  <w:p w14:paraId="26A8AAA5" w14:textId="77777777" w:rsidR="007E4721" w:rsidRPr="004C79D5" w:rsidRDefault="007E4721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2CBE" w14:textId="77777777" w:rsidR="00572F49" w:rsidRDefault="00572F49" w:rsidP="004C79D5">
      <w:pPr>
        <w:spacing w:after="0" w:line="240" w:lineRule="auto"/>
      </w:pPr>
      <w:r>
        <w:separator/>
      </w:r>
    </w:p>
  </w:footnote>
  <w:footnote w:type="continuationSeparator" w:id="0">
    <w:p w14:paraId="63D996C4" w14:textId="77777777" w:rsidR="00572F49" w:rsidRDefault="00572F49" w:rsidP="004C79D5">
      <w:pPr>
        <w:spacing w:after="0" w:line="240" w:lineRule="auto"/>
      </w:pPr>
      <w:r>
        <w:continuationSeparator/>
      </w:r>
    </w:p>
  </w:footnote>
  <w:footnote w:id="1">
    <w:p w14:paraId="3F427EDE" w14:textId="23ACFC15" w:rsidR="00C57A9E" w:rsidRPr="00C57A9E" w:rsidRDefault="00C57A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03174">
          <w:rPr>
            <w:rStyle w:val="Hyperlink"/>
            <w:sz w:val="16"/>
            <w:szCs w:val="16"/>
          </w:rPr>
          <w:t>https://unstats.un.org/unsd/dnss/gp/fundprinciples.aspx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00F"/>
    <w:multiLevelType w:val="hybridMultilevel"/>
    <w:tmpl w:val="3E6C4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C8698D"/>
    <w:multiLevelType w:val="hybridMultilevel"/>
    <w:tmpl w:val="DA64ABA2"/>
    <w:lvl w:ilvl="0" w:tplc="65B8D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C4509"/>
    <w:multiLevelType w:val="hybridMultilevel"/>
    <w:tmpl w:val="3E6C4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A73074"/>
    <w:multiLevelType w:val="hybridMultilevel"/>
    <w:tmpl w:val="1556F7C4"/>
    <w:lvl w:ilvl="0" w:tplc="97A0797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3F5838"/>
    <w:multiLevelType w:val="hybridMultilevel"/>
    <w:tmpl w:val="464AF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C514B"/>
    <w:multiLevelType w:val="hybridMultilevel"/>
    <w:tmpl w:val="09183C34"/>
    <w:lvl w:ilvl="0" w:tplc="A4D4E9D0">
      <w:start w:val="1"/>
      <w:numFmt w:val="upperRoman"/>
      <w:lvlText w:val="%1."/>
      <w:lvlJc w:val="left"/>
      <w:pPr>
        <w:ind w:left="1288" w:hanging="46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0F20394">
      <w:start w:val="1"/>
      <w:numFmt w:val="decimal"/>
      <w:lvlText w:val="%2."/>
      <w:lvlJc w:val="left"/>
      <w:pPr>
        <w:ind w:left="466" w:hanging="466"/>
      </w:pPr>
      <w:rPr>
        <w:rFonts w:ascii="Calibri" w:hAnsi="Calibri" w:hint="default"/>
        <w:b w:val="0"/>
        <w:bCs/>
        <w:i w:val="0"/>
        <w:w w:val="99"/>
        <w:sz w:val="22"/>
        <w:szCs w:val="20"/>
        <w:lang w:val="en-GB"/>
      </w:rPr>
    </w:lvl>
    <w:lvl w:ilvl="2" w:tplc="08090017">
      <w:start w:val="1"/>
      <w:numFmt w:val="lowerLetter"/>
      <w:lvlText w:val="%3)"/>
      <w:lvlJc w:val="left"/>
      <w:pPr>
        <w:ind w:left="1458" w:hanging="466"/>
      </w:pPr>
      <w:rPr>
        <w:rFonts w:hint="default"/>
        <w:w w:val="102"/>
        <w:sz w:val="20"/>
        <w:szCs w:val="20"/>
      </w:rPr>
    </w:lvl>
    <w:lvl w:ilvl="3" w:tplc="559CC524">
      <w:numFmt w:val="bullet"/>
      <w:lvlText w:val="•"/>
      <w:lvlJc w:val="left"/>
      <w:pPr>
        <w:ind w:left="3398" w:hanging="466"/>
      </w:pPr>
      <w:rPr>
        <w:rFonts w:hint="default"/>
      </w:rPr>
    </w:lvl>
    <w:lvl w:ilvl="4" w:tplc="B39E53EE">
      <w:numFmt w:val="bullet"/>
      <w:lvlText w:val="•"/>
      <w:lvlJc w:val="left"/>
      <w:pPr>
        <w:ind w:left="4308" w:hanging="466"/>
      </w:pPr>
      <w:rPr>
        <w:rFonts w:hint="default"/>
      </w:rPr>
    </w:lvl>
    <w:lvl w:ilvl="5" w:tplc="4B8E01D8">
      <w:numFmt w:val="bullet"/>
      <w:lvlText w:val="•"/>
      <w:lvlJc w:val="left"/>
      <w:pPr>
        <w:ind w:left="5217" w:hanging="466"/>
      </w:pPr>
      <w:rPr>
        <w:rFonts w:hint="default"/>
      </w:rPr>
    </w:lvl>
    <w:lvl w:ilvl="6" w:tplc="3BFA3334">
      <w:numFmt w:val="bullet"/>
      <w:lvlText w:val="•"/>
      <w:lvlJc w:val="left"/>
      <w:pPr>
        <w:ind w:left="6126" w:hanging="466"/>
      </w:pPr>
      <w:rPr>
        <w:rFonts w:hint="default"/>
      </w:rPr>
    </w:lvl>
    <w:lvl w:ilvl="7" w:tplc="BE6E3232">
      <w:numFmt w:val="bullet"/>
      <w:lvlText w:val="•"/>
      <w:lvlJc w:val="left"/>
      <w:pPr>
        <w:ind w:left="7036" w:hanging="466"/>
      </w:pPr>
      <w:rPr>
        <w:rFonts w:hint="default"/>
      </w:rPr>
    </w:lvl>
    <w:lvl w:ilvl="8" w:tplc="39C0D7C6">
      <w:numFmt w:val="bullet"/>
      <w:lvlText w:val="•"/>
      <w:lvlJc w:val="left"/>
      <w:pPr>
        <w:ind w:left="7945" w:hanging="466"/>
      </w:pPr>
      <w:rPr>
        <w:rFonts w:hint="default"/>
      </w:rPr>
    </w:lvl>
  </w:abstractNum>
  <w:abstractNum w:abstractNumId="6" w15:restartNumberingAfterBreak="0">
    <w:nsid w:val="5A583BE7"/>
    <w:multiLevelType w:val="hybridMultilevel"/>
    <w:tmpl w:val="A3CC6E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40FB6"/>
    <w:multiLevelType w:val="hybridMultilevel"/>
    <w:tmpl w:val="3E6C4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15070A"/>
    <w:multiLevelType w:val="hybridMultilevel"/>
    <w:tmpl w:val="781C2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D5"/>
    <w:rsid w:val="00012DA5"/>
    <w:rsid w:val="00013F8E"/>
    <w:rsid w:val="000374AF"/>
    <w:rsid w:val="0005326E"/>
    <w:rsid w:val="00055801"/>
    <w:rsid w:val="000623D3"/>
    <w:rsid w:val="0007613B"/>
    <w:rsid w:val="00080D3B"/>
    <w:rsid w:val="00084026"/>
    <w:rsid w:val="00095846"/>
    <w:rsid w:val="00097742"/>
    <w:rsid w:val="000A7DEE"/>
    <w:rsid w:val="000B302C"/>
    <w:rsid w:val="000C543D"/>
    <w:rsid w:val="000D50D1"/>
    <w:rsid w:val="000D60E4"/>
    <w:rsid w:val="000E5BCC"/>
    <w:rsid w:val="00104609"/>
    <w:rsid w:val="001157C4"/>
    <w:rsid w:val="001237B1"/>
    <w:rsid w:val="00133194"/>
    <w:rsid w:val="00137268"/>
    <w:rsid w:val="001500A9"/>
    <w:rsid w:val="00160D43"/>
    <w:rsid w:val="001618CC"/>
    <w:rsid w:val="00162DDB"/>
    <w:rsid w:val="00164DDE"/>
    <w:rsid w:val="00176762"/>
    <w:rsid w:val="00187569"/>
    <w:rsid w:val="0019134B"/>
    <w:rsid w:val="001B3C78"/>
    <w:rsid w:val="001B67C7"/>
    <w:rsid w:val="001C2D92"/>
    <w:rsid w:val="001D04AF"/>
    <w:rsid w:val="001E1D8F"/>
    <w:rsid w:val="001F573F"/>
    <w:rsid w:val="002169F7"/>
    <w:rsid w:val="00232D44"/>
    <w:rsid w:val="00246604"/>
    <w:rsid w:val="002516DB"/>
    <w:rsid w:val="00282346"/>
    <w:rsid w:val="00283158"/>
    <w:rsid w:val="00290046"/>
    <w:rsid w:val="0029615E"/>
    <w:rsid w:val="002A47C9"/>
    <w:rsid w:val="002A4A78"/>
    <w:rsid w:val="002C3B75"/>
    <w:rsid w:val="002D421A"/>
    <w:rsid w:val="002D4B86"/>
    <w:rsid w:val="002F0FD2"/>
    <w:rsid w:val="002F1B34"/>
    <w:rsid w:val="003031C4"/>
    <w:rsid w:val="003100A8"/>
    <w:rsid w:val="003139B5"/>
    <w:rsid w:val="00342216"/>
    <w:rsid w:val="0036298E"/>
    <w:rsid w:val="003654F9"/>
    <w:rsid w:val="00375F59"/>
    <w:rsid w:val="00392D83"/>
    <w:rsid w:val="003A2B81"/>
    <w:rsid w:val="003B2B97"/>
    <w:rsid w:val="003B6836"/>
    <w:rsid w:val="003B6AD3"/>
    <w:rsid w:val="003C0548"/>
    <w:rsid w:val="003C236E"/>
    <w:rsid w:val="003C3AE6"/>
    <w:rsid w:val="003D3125"/>
    <w:rsid w:val="003D378D"/>
    <w:rsid w:val="003D5265"/>
    <w:rsid w:val="003F4144"/>
    <w:rsid w:val="003F64E6"/>
    <w:rsid w:val="00411244"/>
    <w:rsid w:val="0041571D"/>
    <w:rsid w:val="004245CE"/>
    <w:rsid w:val="00426B4D"/>
    <w:rsid w:val="00430B44"/>
    <w:rsid w:val="00441926"/>
    <w:rsid w:val="00442148"/>
    <w:rsid w:val="00444B09"/>
    <w:rsid w:val="00447C38"/>
    <w:rsid w:val="00465D6E"/>
    <w:rsid w:val="00467413"/>
    <w:rsid w:val="0047394D"/>
    <w:rsid w:val="0047659C"/>
    <w:rsid w:val="004900E8"/>
    <w:rsid w:val="00496D30"/>
    <w:rsid w:val="004A079D"/>
    <w:rsid w:val="004A71BD"/>
    <w:rsid w:val="004B7AB9"/>
    <w:rsid w:val="004C79D5"/>
    <w:rsid w:val="004D717D"/>
    <w:rsid w:val="004F180F"/>
    <w:rsid w:val="004F68FD"/>
    <w:rsid w:val="0051511E"/>
    <w:rsid w:val="00523490"/>
    <w:rsid w:val="00525ED0"/>
    <w:rsid w:val="0052712B"/>
    <w:rsid w:val="00532474"/>
    <w:rsid w:val="005340B9"/>
    <w:rsid w:val="0053462D"/>
    <w:rsid w:val="00536D83"/>
    <w:rsid w:val="00536F27"/>
    <w:rsid w:val="00540701"/>
    <w:rsid w:val="0056707B"/>
    <w:rsid w:val="00570881"/>
    <w:rsid w:val="00572F49"/>
    <w:rsid w:val="0057343B"/>
    <w:rsid w:val="00584817"/>
    <w:rsid w:val="005974D3"/>
    <w:rsid w:val="005C03D0"/>
    <w:rsid w:val="005D0336"/>
    <w:rsid w:val="005D0A27"/>
    <w:rsid w:val="005D35E7"/>
    <w:rsid w:val="005D378E"/>
    <w:rsid w:val="005D4E43"/>
    <w:rsid w:val="005D5936"/>
    <w:rsid w:val="005F114D"/>
    <w:rsid w:val="00602698"/>
    <w:rsid w:val="006027FD"/>
    <w:rsid w:val="00606AAA"/>
    <w:rsid w:val="0061452C"/>
    <w:rsid w:val="00626C3C"/>
    <w:rsid w:val="0063236F"/>
    <w:rsid w:val="0064333C"/>
    <w:rsid w:val="00643B9F"/>
    <w:rsid w:val="00644ACD"/>
    <w:rsid w:val="0065439E"/>
    <w:rsid w:val="00671998"/>
    <w:rsid w:val="006A31F9"/>
    <w:rsid w:val="006B0BA7"/>
    <w:rsid w:val="006C6DA9"/>
    <w:rsid w:val="006D3CFB"/>
    <w:rsid w:val="006D6795"/>
    <w:rsid w:val="006E0220"/>
    <w:rsid w:val="0070563D"/>
    <w:rsid w:val="00706A57"/>
    <w:rsid w:val="00714B93"/>
    <w:rsid w:val="007172ED"/>
    <w:rsid w:val="00724F87"/>
    <w:rsid w:val="007369E6"/>
    <w:rsid w:val="00773143"/>
    <w:rsid w:val="00774C49"/>
    <w:rsid w:val="00776DFE"/>
    <w:rsid w:val="00782101"/>
    <w:rsid w:val="00782F26"/>
    <w:rsid w:val="0079733B"/>
    <w:rsid w:val="007A7E28"/>
    <w:rsid w:val="007B5402"/>
    <w:rsid w:val="007B74A6"/>
    <w:rsid w:val="007C2D72"/>
    <w:rsid w:val="007D5441"/>
    <w:rsid w:val="007E4721"/>
    <w:rsid w:val="007F05DD"/>
    <w:rsid w:val="00800791"/>
    <w:rsid w:val="0080706E"/>
    <w:rsid w:val="00831C11"/>
    <w:rsid w:val="008625E0"/>
    <w:rsid w:val="0087060F"/>
    <w:rsid w:val="008749EA"/>
    <w:rsid w:val="0089147C"/>
    <w:rsid w:val="0089177A"/>
    <w:rsid w:val="00896718"/>
    <w:rsid w:val="00896CFD"/>
    <w:rsid w:val="008B0447"/>
    <w:rsid w:val="008C255F"/>
    <w:rsid w:val="008C3043"/>
    <w:rsid w:val="008C6213"/>
    <w:rsid w:val="008D027B"/>
    <w:rsid w:val="008D4BDF"/>
    <w:rsid w:val="008D64F7"/>
    <w:rsid w:val="008D7B44"/>
    <w:rsid w:val="008E66FC"/>
    <w:rsid w:val="008E78AF"/>
    <w:rsid w:val="009064C7"/>
    <w:rsid w:val="009076D6"/>
    <w:rsid w:val="009179CA"/>
    <w:rsid w:val="00925591"/>
    <w:rsid w:val="00926D8D"/>
    <w:rsid w:val="00943BA7"/>
    <w:rsid w:val="00945C21"/>
    <w:rsid w:val="009471D1"/>
    <w:rsid w:val="00950604"/>
    <w:rsid w:val="00950E0B"/>
    <w:rsid w:val="009530F5"/>
    <w:rsid w:val="00964331"/>
    <w:rsid w:val="00971067"/>
    <w:rsid w:val="00973E13"/>
    <w:rsid w:val="0099160C"/>
    <w:rsid w:val="00994A50"/>
    <w:rsid w:val="00997C9D"/>
    <w:rsid w:val="009A295C"/>
    <w:rsid w:val="009A5F4A"/>
    <w:rsid w:val="009B1449"/>
    <w:rsid w:val="009C03D2"/>
    <w:rsid w:val="009C0739"/>
    <w:rsid w:val="009E061F"/>
    <w:rsid w:val="009E0BA2"/>
    <w:rsid w:val="009E75BA"/>
    <w:rsid w:val="009F18B4"/>
    <w:rsid w:val="009F1E60"/>
    <w:rsid w:val="009F2B84"/>
    <w:rsid w:val="00A043F8"/>
    <w:rsid w:val="00A07E0A"/>
    <w:rsid w:val="00A359AB"/>
    <w:rsid w:val="00A635FE"/>
    <w:rsid w:val="00A640B2"/>
    <w:rsid w:val="00A6479E"/>
    <w:rsid w:val="00A753B5"/>
    <w:rsid w:val="00A757A9"/>
    <w:rsid w:val="00A805D3"/>
    <w:rsid w:val="00A83C17"/>
    <w:rsid w:val="00A85412"/>
    <w:rsid w:val="00A928A8"/>
    <w:rsid w:val="00A95CF6"/>
    <w:rsid w:val="00AB3650"/>
    <w:rsid w:val="00AC08A8"/>
    <w:rsid w:val="00AD3697"/>
    <w:rsid w:val="00AE1218"/>
    <w:rsid w:val="00AF5BC8"/>
    <w:rsid w:val="00B10C77"/>
    <w:rsid w:val="00B11C71"/>
    <w:rsid w:val="00B1326C"/>
    <w:rsid w:val="00B23EF7"/>
    <w:rsid w:val="00B24494"/>
    <w:rsid w:val="00B249B7"/>
    <w:rsid w:val="00B35E69"/>
    <w:rsid w:val="00B5699E"/>
    <w:rsid w:val="00B73CB1"/>
    <w:rsid w:val="00B86557"/>
    <w:rsid w:val="00B87DA9"/>
    <w:rsid w:val="00B92290"/>
    <w:rsid w:val="00B95F69"/>
    <w:rsid w:val="00BB1993"/>
    <w:rsid w:val="00BB39A3"/>
    <w:rsid w:val="00BC490C"/>
    <w:rsid w:val="00BC6445"/>
    <w:rsid w:val="00BD0ECA"/>
    <w:rsid w:val="00BD4F61"/>
    <w:rsid w:val="00BD58B1"/>
    <w:rsid w:val="00BE3859"/>
    <w:rsid w:val="00C016C0"/>
    <w:rsid w:val="00C2143D"/>
    <w:rsid w:val="00C220E7"/>
    <w:rsid w:val="00C24814"/>
    <w:rsid w:val="00C3349A"/>
    <w:rsid w:val="00C358D3"/>
    <w:rsid w:val="00C37C72"/>
    <w:rsid w:val="00C57A9E"/>
    <w:rsid w:val="00C60ACF"/>
    <w:rsid w:val="00C7716F"/>
    <w:rsid w:val="00C821E8"/>
    <w:rsid w:val="00C9545C"/>
    <w:rsid w:val="00CC0882"/>
    <w:rsid w:val="00CD430F"/>
    <w:rsid w:val="00CE7CC8"/>
    <w:rsid w:val="00CF17E8"/>
    <w:rsid w:val="00CF5325"/>
    <w:rsid w:val="00D01F8A"/>
    <w:rsid w:val="00D200BF"/>
    <w:rsid w:val="00D275AD"/>
    <w:rsid w:val="00D276F2"/>
    <w:rsid w:val="00D3623F"/>
    <w:rsid w:val="00D473F8"/>
    <w:rsid w:val="00D57F94"/>
    <w:rsid w:val="00D743F0"/>
    <w:rsid w:val="00D903B8"/>
    <w:rsid w:val="00DA380C"/>
    <w:rsid w:val="00DA3B9F"/>
    <w:rsid w:val="00DA43C9"/>
    <w:rsid w:val="00DB42D1"/>
    <w:rsid w:val="00DB7276"/>
    <w:rsid w:val="00DD3956"/>
    <w:rsid w:val="00DE07D9"/>
    <w:rsid w:val="00DE2961"/>
    <w:rsid w:val="00DF5BAB"/>
    <w:rsid w:val="00E079F8"/>
    <w:rsid w:val="00E14C78"/>
    <w:rsid w:val="00E1682E"/>
    <w:rsid w:val="00E34420"/>
    <w:rsid w:val="00E400CF"/>
    <w:rsid w:val="00E45815"/>
    <w:rsid w:val="00E516C8"/>
    <w:rsid w:val="00E760FD"/>
    <w:rsid w:val="00E7666C"/>
    <w:rsid w:val="00EA0EDB"/>
    <w:rsid w:val="00EA12C2"/>
    <w:rsid w:val="00EA6F2A"/>
    <w:rsid w:val="00EB06F5"/>
    <w:rsid w:val="00EB4856"/>
    <w:rsid w:val="00ED456E"/>
    <w:rsid w:val="00ED7E6B"/>
    <w:rsid w:val="00EE3024"/>
    <w:rsid w:val="00EE4F99"/>
    <w:rsid w:val="00EE7656"/>
    <w:rsid w:val="00EF250B"/>
    <w:rsid w:val="00EF5AA6"/>
    <w:rsid w:val="00EF7406"/>
    <w:rsid w:val="00F03174"/>
    <w:rsid w:val="00F06FE0"/>
    <w:rsid w:val="00F20BA3"/>
    <w:rsid w:val="00F23104"/>
    <w:rsid w:val="00F23FA6"/>
    <w:rsid w:val="00F24014"/>
    <w:rsid w:val="00F31741"/>
    <w:rsid w:val="00F4269C"/>
    <w:rsid w:val="00F57126"/>
    <w:rsid w:val="00F61EC3"/>
    <w:rsid w:val="00F7342B"/>
    <w:rsid w:val="00F73ECD"/>
    <w:rsid w:val="00F740A7"/>
    <w:rsid w:val="00F77D9F"/>
    <w:rsid w:val="00F83091"/>
    <w:rsid w:val="00F95E4A"/>
    <w:rsid w:val="00FB0390"/>
    <w:rsid w:val="00FB0607"/>
    <w:rsid w:val="00FB37D7"/>
    <w:rsid w:val="00FF0A7E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16D6"/>
  <w15:chartTrackingRefBased/>
  <w15:docId w15:val="{FB73FE3F-6CB6-430F-B6D9-11ECFE41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07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79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D5"/>
  </w:style>
  <w:style w:type="paragraph" w:styleId="Footer">
    <w:name w:val="footer"/>
    <w:basedOn w:val="Normal"/>
    <w:link w:val="FooterChar"/>
    <w:uiPriority w:val="99"/>
    <w:unhideWhenUsed/>
    <w:rsid w:val="004C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D5"/>
  </w:style>
  <w:style w:type="character" w:customStyle="1" w:styleId="Heading3Char">
    <w:name w:val="Heading 3 Char"/>
    <w:basedOn w:val="DefaultParagraphFont"/>
    <w:link w:val="Heading3"/>
    <w:uiPriority w:val="9"/>
    <w:rsid w:val="008007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EOH bullet,Use Case List Paragraph,EOH paragraph,List Paragraph1,Table (List),Indent Paragraph,List Paragraph 1,Green bullet,lp1,lp11,Bullet List,FooterText,numbered,Paragraphe de liste1,Bulletr List Paragraph,列出段落,列出段落1,Bullet 1,Liste 1"/>
    <w:basedOn w:val="Normal"/>
    <w:link w:val="ListParagraphChar"/>
    <w:uiPriority w:val="34"/>
    <w:qFormat/>
    <w:rsid w:val="008007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007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EOH bullet Char,Use Case List Paragraph Char,EOH paragraph Char,List Paragraph1 Char,Table (List) Char,Indent Paragraph Char,List Paragraph 1 Char,Green bullet Char,lp1 Char,lp11 Char,Bullet List Char,FooterText Char,numbered Char"/>
    <w:basedOn w:val="DefaultParagraphFont"/>
    <w:link w:val="ListParagraph"/>
    <w:uiPriority w:val="34"/>
    <w:locked/>
    <w:rsid w:val="00426B4D"/>
  </w:style>
  <w:style w:type="character" w:styleId="PlaceholderText">
    <w:name w:val="Placeholder Text"/>
    <w:basedOn w:val="DefaultParagraphFont"/>
    <w:uiPriority w:val="99"/>
    <w:semiHidden/>
    <w:rsid w:val="00426B4D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6543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3">
    <w:name w:val="Plain Table 3"/>
    <w:basedOn w:val="TableNormal"/>
    <w:uiPriority w:val="99"/>
    <w:rsid w:val="006543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E4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72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6C6D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6D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6D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32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36F"/>
    <w:rPr>
      <w:b/>
      <w:bCs/>
      <w:sz w:val="20"/>
      <w:szCs w:val="20"/>
    </w:rPr>
  </w:style>
  <w:style w:type="table" w:styleId="GridTable1Light-Accent5">
    <w:name w:val="Grid Table 1 Light Accent 5"/>
    <w:basedOn w:val="TableNormal"/>
    <w:uiPriority w:val="46"/>
    <w:rsid w:val="00E760F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7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760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stats.un.org/unsd/dnss/gp/fundprincipl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8b94d1-f089-4c47-abb6-20f20898a544">
      <UserInfo>
        <DisplayName>Amandine Rushenguziminega</DisplayName>
        <AccountId>14</AccountId>
        <AccountType/>
      </UserInfo>
      <UserInfo>
        <DisplayName>Nour Barnat</DisplayName>
        <AccountId>25</AccountId>
        <AccountType/>
      </UserInfo>
      <UserInfo>
        <DisplayName>Anu Peltola</DisplayName>
        <AccountId>10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73958894D2149808F9D8566FEDB90" ma:contentTypeVersion="12" ma:contentTypeDescription="Create a new document." ma:contentTypeScope="" ma:versionID="853cbea406b552377414f1277ba8bf51">
  <xsd:schema xmlns:xsd="http://www.w3.org/2001/XMLSchema" xmlns:xs="http://www.w3.org/2001/XMLSchema" xmlns:p="http://schemas.microsoft.com/office/2006/metadata/properties" xmlns:ns2="13ef3714-6ce0-4e34-9185-aca0df8dd2bd" xmlns:ns3="068b94d1-f089-4c47-abb6-20f20898a544" targetNamespace="http://schemas.microsoft.com/office/2006/metadata/properties" ma:root="true" ma:fieldsID="3dbfe1ab0bd22b855e94e2ebf4998ee6" ns2:_="" ns3:_="">
    <xsd:import namespace="13ef3714-6ce0-4e34-9185-aca0df8dd2bd"/>
    <xsd:import namespace="068b94d1-f089-4c47-abb6-20f20898a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f3714-6ce0-4e34-9185-aca0df8dd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b94d1-f089-4c47-abb6-20f20898a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1CFCC-E8C0-431E-9558-22212C6E42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2A8A8-6C78-48E5-B0F2-474E17A46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E8A5A-5454-413E-989A-5B138A3119B4}">
  <ds:schemaRefs>
    <ds:schemaRef ds:uri="http://schemas.microsoft.com/office/2006/metadata/properties"/>
    <ds:schemaRef ds:uri="http://schemas.microsoft.com/office/infopath/2007/PartnerControls"/>
    <ds:schemaRef ds:uri="068b94d1-f089-4c47-abb6-20f20898a544"/>
  </ds:schemaRefs>
</ds:datastoreItem>
</file>

<file path=customXml/itemProps4.xml><?xml version="1.0" encoding="utf-8"?>
<ds:datastoreItem xmlns:ds="http://schemas.openxmlformats.org/officeDocument/2006/customXml" ds:itemID="{ECB41E0C-4912-4014-8FA8-AD63D7B6C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f3714-6ce0-4e34-9185-aca0df8dd2bd"/>
    <ds:schemaRef ds:uri="068b94d1-f089-4c47-abb6-20f20898a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Nastav</dc:creator>
  <cp:keywords/>
  <dc:description/>
  <cp:lastModifiedBy>author</cp:lastModifiedBy>
  <cp:revision>2</cp:revision>
  <dcterms:created xsi:type="dcterms:W3CDTF">2021-06-11T06:17:00Z</dcterms:created>
  <dcterms:modified xsi:type="dcterms:W3CDTF">2021-06-11T06:17:00Z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0x0101001C373958894D2149808F9D8566FEDB90</vt:lpwstr>
  </property>
</Properties>
</file>