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BA1" w14:textId="77777777" w:rsidR="00A16955" w:rsidRPr="00D43C26" w:rsidRDefault="00A16955" w:rsidP="00CF45B6">
      <w:pPr>
        <w:pStyle w:val="Heading3"/>
        <w:numPr>
          <w:ilvl w:val="0"/>
          <w:numId w:val="43"/>
        </w:numPr>
      </w:pPr>
      <w:bookmarkStart w:id="0" w:name="_Toc75288827"/>
      <w:r w:rsidRPr="00D43C26">
        <w:t>Criteria for assigning points in the quality assessment framework</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509"/>
        <w:gridCol w:w="2036"/>
        <w:gridCol w:w="4136"/>
        <w:gridCol w:w="2054"/>
        <w:gridCol w:w="2054"/>
        <w:gridCol w:w="1935"/>
      </w:tblGrid>
      <w:tr w:rsidR="00A16955" w:rsidRPr="00D43C26" w14:paraId="7C912CAB" w14:textId="77777777" w:rsidTr="00447059">
        <w:trPr>
          <w:trHeight w:val="300"/>
          <w:tblHeader/>
        </w:trPr>
        <w:tc>
          <w:tcPr>
            <w:tcW w:w="1360" w:type="dxa"/>
            <w:shd w:val="clear" w:color="auto" w:fill="E7E6E6" w:themeFill="background2"/>
            <w:hideMark/>
          </w:tcPr>
          <w:p w14:paraId="34BFEFA1" w14:textId="77777777" w:rsidR="00A16955" w:rsidRPr="00D43C26" w:rsidRDefault="00A16955" w:rsidP="009D767F">
            <w:pPr>
              <w:rPr>
                <w:b/>
                <w:bCs/>
                <w:sz w:val="20"/>
                <w:szCs w:val="20"/>
              </w:rPr>
            </w:pPr>
            <w:r w:rsidRPr="00D43C26">
              <w:rPr>
                <w:b/>
                <w:bCs/>
                <w:sz w:val="20"/>
                <w:szCs w:val="20"/>
              </w:rPr>
              <w:t>Category</w:t>
            </w:r>
          </w:p>
        </w:tc>
        <w:tc>
          <w:tcPr>
            <w:tcW w:w="440" w:type="dxa"/>
            <w:shd w:val="clear" w:color="auto" w:fill="E7E6E6" w:themeFill="background2"/>
            <w:hideMark/>
          </w:tcPr>
          <w:p w14:paraId="4258B98C" w14:textId="77777777" w:rsidR="00A16955" w:rsidRPr="00D43C26" w:rsidRDefault="00A16955" w:rsidP="009D767F">
            <w:pPr>
              <w:rPr>
                <w:b/>
                <w:bCs/>
                <w:sz w:val="20"/>
                <w:szCs w:val="20"/>
              </w:rPr>
            </w:pPr>
            <w:r w:rsidRPr="00D43C26">
              <w:rPr>
                <w:b/>
                <w:bCs/>
                <w:sz w:val="20"/>
                <w:szCs w:val="20"/>
              </w:rPr>
              <w:t>No.</w:t>
            </w:r>
          </w:p>
        </w:tc>
        <w:tc>
          <w:tcPr>
            <w:tcW w:w="2340" w:type="dxa"/>
            <w:shd w:val="clear" w:color="auto" w:fill="E7E6E6" w:themeFill="background2"/>
            <w:hideMark/>
          </w:tcPr>
          <w:p w14:paraId="60D30354" w14:textId="77777777" w:rsidR="00A16955" w:rsidRPr="00D43C26" w:rsidRDefault="00A16955" w:rsidP="009D767F">
            <w:pPr>
              <w:rPr>
                <w:b/>
                <w:bCs/>
                <w:sz w:val="20"/>
                <w:szCs w:val="20"/>
              </w:rPr>
            </w:pPr>
            <w:r w:rsidRPr="00D43C26">
              <w:rPr>
                <w:b/>
                <w:bCs/>
                <w:sz w:val="20"/>
                <w:szCs w:val="20"/>
              </w:rPr>
              <w:t>Subcategory</w:t>
            </w:r>
          </w:p>
        </w:tc>
        <w:tc>
          <w:tcPr>
            <w:tcW w:w="5680" w:type="dxa"/>
            <w:shd w:val="clear" w:color="auto" w:fill="E7E6E6" w:themeFill="background2"/>
            <w:hideMark/>
          </w:tcPr>
          <w:p w14:paraId="1A3394B2" w14:textId="77777777" w:rsidR="00A16955" w:rsidRPr="00D43C26" w:rsidRDefault="00A16955" w:rsidP="009D767F">
            <w:pPr>
              <w:rPr>
                <w:b/>
                <w:bCs/>
                <w:sz w:val="20"/>
                <w:szCs w:val="20"/>
              </w:rPr>
            </w:pPr>
            <w:r w:rsidRPr="00D43C26">
              <w:rPr>
                <w:b/>
                <w:bCs/>
                <w:sz w:val="20"/>
                <w:szCs w:val="20"/>
              </w:rPr>
              <w:t>Subcategory explained</w:t>
            </w:r>
          </w:p>
        </w:tc>
        <w:tc>
          <w:tcPr>
            <w:tcW w:w="2180" w:type="dxa"/>
            <w:shd w:val="clear" w:color="auto" w:fill="E7E6E6" w:themeFill="background2"/>
            <w:hideMark/>
          </w:tcPr>
          <w:p w14:paraId="47DC28B6" w14:textId="77777777" w:rsidR="00A16955" w:rsidRPr="00D43C26" w:rsidRDefault="00A16955" w:rsidP="009D767F">
            <w:pPr>
              <w:rPr>
                <w:b/>
                <w:bCs/>
                <w:sz w:val="20"/>
                <w:szCs w:val="20"/>
              </w:rPr>
            </w:pPr>
            <w:r w:rsidRPr="00D43C26">
              <w:rPr>
                <w:b/>
                <w:bCs/>
                <w:sz w:val="20"/>
                <w:szCs w:val="20"/>
              </w:rPr>
              <w:t>1 point</w:t>
            </w:r>
          </w:p>
        </w:tc>
        <w:tc>
          <w:tcPr>
            <w:tcW w:w="2180" w:type="dxa"/>
            <w:shd w:val="clear" w:color="auto" w:fill="E7E6E6" w:themeFill="background2"/>
            <w:hideMark/>
          </w:tcPr>
          <w:p w14:paraId="6412A2DC" w14:textId="77777777" w:rsidR="00A16955" w:rsidRPr="00D43C26" w:rsidRDefault="00A16955" w:rsidP="009D767F">
            <w:pPr>
              <w:rPr>
                <w:b/>
                <w:bCs/>
                <w:sz w:val="20"/>
                <w:szCs w:val="20"/>
              </w:rPr>
            </w:pPr>
            <w:r w:rsidRPr="00D43C26">
              <w:rPr>
                <w:b/>
                <w:bCs/>
                <w:sz w:val="20"/>
                <w:szCs w:val="20"/>
              </w:rPr>
              <w:t>2 points</w:t>
            </w:r>
          </w:p>
        </w:tc>
        <w:tc>
          <w:tcPr>
            <w:tcW w:w="2180" w:type="dxa"/>
            <w:shd w:val="clear" w:color="auto" w:fill="E7E6E6" w:themeFill="background2"/>
            <w:hideMark/>
          </w:tcPr>
          <w:p w14:paraId="39FEBC78" w14:textId="77777777" w:rsidR="00A16955" w:rsidRPr="00D43C26" w:rsidRDefault="00A16955" w:rsidP="009D767F">
            <w:pPr>
              <w:rPr>
                <w:b/>
                <w:bCs/>
                <w:sz w:val="20"/>
                <w:szCs w:val="20"/>
              </w:rPr>
            </w:pPr>
            <w:r w:rsidRPr="00D43C26">
              <w:rPr>
                <w:b/>
                <w:bCs/>
                <w:sz w:val="20"/>
                <w:szCs w:val="20"/>
              </w:rPr>
              <w:t>3 points</w:t>
            </w:r>
          </w:p>
        </w:tc>
      </w:tr>
      <w:tr w:rsidR="00A16955" w:rsidRPr="00D43C26" w14:paraId="108C18E9" w14:textId="77777777" w:rsidTr="00447059">
        <w:trPr>
          <w:trHeight w:val="1768"/>
        </w:trPr>
        <w:tc>
          <w:tcPr>
            <w:tcW w:w="1360" w:type="dxa"/>
            <w:hideMark/>
          </w:tcPr>
          <w:p w14:paraId="686B9D98" w14:textId="77777777" w:rsidR="00A16955" w:rsidRPr="00D43C26" w:rsidRDefault="00A16955" w:rsidP="009D767F">
            <w:pPr>
              <w:rPr>
                <w:b/>
                <w:bCs/>
                <w:sz w:val="20"/>
                <w:szCs w:val="20"/>
              </w:rPr>
            </w:pPr>
            <w:r w:rsidRPr="00D43C26">
              <w:rPr>
                <w:b/>
                <w:bCs/>
                <w:sz w:val="20"/>
                <w:szCs w:val="20"/>
              </w:rPr>
              <w:t>Soundness of methods</w:t>
            </w:r>
          </w:p>
        </w:tc>
        <w:tc>
          <w:tcPr>
            <w:tcW w:w="440" w:type="dxa"/>
            <w:hideMark/>
          </w:tcPr>
          <w:p w14:paraId="0389CBA1" w14:textId="77777777" w:rsidR="00A16955" w:rsidRPr="00D43C26" w:rsidRDefault="00A16955" w:rsidP="009D767F">
            <w:pPr>
              <w:rPr>
                <w:sz w:val="20"/>
                <w:szCs w:val="20"/>
              </w:rPr>
            </w:pPr>
            <w:r w:rsidRPr="00D43C26">
              <w:rPr>
                <w:sz w:val="20"/>
                <w:szCs w:val="20"/>
              </w:rPr>
              <w:t>1</w:t>
            </w:r>
          </w:p>
        </w:tc>
        <w:tc>
          <w:tcPr>
            <w:tcW w:w="2340" w:type="dxa"/>
            <w:hideMark/>
          </w:tcPr>
          <w:p w14:paraId="5855992F" w14:textId="77777777" w:rsidR="00A16955" w:rsidRPr="00D43C26" w:rsidRDefault="00A16955" w:rsidP="009D767F">
            <w:pPr>
              <w:rPr>
                <w:sz w:val="20"/>
                <w:szCs w:val="20"/>
              </w:rPr>
            </w:pPr>
            <w:r w:rsidRPr="00D43C26">
              <w:rPr>
                <w:sz w:val="20"/>
                <w:szCs w:val="20"/>
              </w:rPr>
              <w:t>Relevance of scope</w:t>
            </w:r>
          </w:p>
        </w:tc>
        <w:tc>
          <w:tcPr>
            <w:tcW w:w="5680" w:type="dxa"/>
            <w:hideMark/>
          </w:tcPr>
          <w:p w14:paraId="66E274AB" w14:textId="77777777" w:rsidR="00A16955" w:rsidRPr="00D43C26" w:rsidRDefault="00A16955" w:rsidP="009D767F">
            <w:pPr>
              <w:rPr>
                <w:sz w:val="20"/>
                <w:szCs w:val="20"/>
              </w:rPr>
            </w:pPr>
            <w:r w:rsidRPr="00D43C26">
              <w:rPr>
                <w:sz w:val="20"/>
                <w:szCs w:val="20"/>
              </w:rPr>
              <w:t>Content validity – What is measured? Which IFFs does it cover?</w:t>
            </w:r>
          </w:p>
        </w:tc>
        <w:tc>
          <w:tcPr>
            <w:tcW w:w="2180" w:type="dxa"/>
            <w:hideMark/>
          </w:tcPr>
          <w:p w14:paraId="18A2A0BC" w14:textId="77777777" w:rsidR="00A16955" w:rsidRPr="00D43C26" w:rsidRDefault="00A16955" w:rsidP="009D767F">
            <w:pPr>
              <w:rPr>
                <w:sz w:val="20"/>
                <w:szCs w:val="20"/>
              </w:rPr>
            </w:pPr>
            <w:r w:rsidRPr="00D43C26">
              <w:rPr>
                <w:sz w:val="20"/>
                <w:szCs w:val="20"/>
              </w:rPr>
              <w:t xml:space="preserve">Single IFFs activity is covered, not clearly delineated from others. </w:t>
            </w:r>
          </w:p>
        </w:tc>
        <w:tc>
          <w:tcPr>
            <w:tcW w:w="2180" w:type="dxa"/>
            <w:hideMark/>
          </w:tcPr>
          <w:p w14:paraId="31FD1341" w14:textId="77777777" w:rsidR="00A16955" w:rsidRPr="00D43C26" w:rsidRDefault="00A16955" w:rsidP="009D767F">
            <w:pPr>
              <w:rPr>
                <w:sz w:val="20"/>
                <w:szCs w:val="20"/>
              </w:rPr>
            </w:pPr>
            <w:r w:rsidRPr="00D43C26">
              <w:rPr>
                <w:sz w:val="20"/>
                <w:szCs w:val="20"/>
              </w:rPr>
              <w:t xml:space="preserve">Single IFFs activity is covered, clearly delineated from others. </w:t>
            </w:r>
          </w:p>
        </w:tc>
        <w:tc>
          <w:tcPr>
            <w:tcW w:w="2180" w:type="dxa"/>
            <w:hideMark/>
          </w:tcPr>
          <w:p w14:paraId="54D87EFA" w14:textId="77777777" w:rsidR="00A16955" w:rsidRPr="00D43C26" w:rsidRDefault="00A16955" w:rsidP="009D767F">
            <w:pPr>
              <w:rPr>
                <w:sz w:val="20"/>
                <w:szCs w:val="20"/>
              </w:rPr>
            </w:pPr>
            <w:r w:rsidRPr="00D43C26">
              <w:rPr>
                <w:sz w:val="20"/>
                <w:szCs w:val="20"/>
              </w:rPr>
              <w:t xml:space="preserve">Several IFFs activities are covered, all clearly delineated from </w:t>
            </w:r>
            <w:proofErr w:type="gramStart"/>
            <w:r w:rsidRPr="00D43C26">
              <w:rPr>
                <w:sz w:val="20"/>
                <w:szCs w:val="20"/>
              </w:rPr>
              <w:t>each other</w:t>
            </w:r>
            <w:proofErr w:type="gramEnd"/>
            <w:r w:rsidRPr="00D43C26">
              <w:rPr>
                <w:sz w:val="20"/>
                <w:szCs w:val="20"/>
              </w:rPr>
              <w:t xml:space="preserve"> and the ones potentially left outside the scope.</w:t>
            </w:r>
          </w:p>
        </w:tc>
      </w:tr>
      <w:tr w:rsidR="00A16955" w:rsidRPr="00D43C26" w14:paraId="3BE78ACB" w14:textId="77777777" w:rsidTr="00447059">
        <w:trPr>
          <w:trHeight w:val="1291"/>
        </w:trPr>
        <w:tc>
          <w:tcPr>
            <w:tcW w:w="1360" w:type="dxa"/>
            <w:hideMark/>
          </w:tcPr>
          <w:p w14:paraId="69A45F2F" w14:textId="77777777" w:rsidR="00A16955" w:rsidRPr="00D43C26" w:rsidRDefault="00A16955" w:rsidP="009D767F">
            <w:pPr>
              <w:rPr>
                <w:b/>
                <w:bCs/>
                <w:sz w:val="20"/>
                <w:szCs w:val="20"/>
              </w:rPr>
            </w:pPr>
            <w:r w:rsidRPr="00D43C26">
              <w:rPr>
                <w:b/>
                <w:bCs/>
                <w:sz w:val="20"/>
                <w:szCs w:val="20"/>
              </w:rPr>
              <w:t> </w:t>
            </w:r>
          </w:p>
        </w:tc>
        <w:tc>
          <w:tcPr>
            <w:tcW w:w="440" w:type="dxa"/>
            <w:hideMark/>
          </w:tcPr>
          <w:p w14:paraId="61E48549" w14:textId="77777777" w:rsidR="00A16955" w:rsidRPr="00D43C26" w:rsidRDefault="00A16955" w:rsidP="009D767F">
            <w:pPr>
              <w:rPr>
                <w:sz w:val="20"/>
                <w:szCs w:val="20"/>
              </w:rPr>
            </w:pPr>
            <w:r w:rsidRPr="00D43C26">
              <w:rPr>
                <w:sz w:val="20"/>
                <w:szCs w:val="20"/>
              </w:rPr>
              <w:t>2</w:t>
            </w:r>
          </w:p>
        </w:tc>
        <w:tc>
          <w:tcPr>
            <w:tcW w:w="2340" w:type="dxa"/>
            <w:hideMark/>
          </w:tcPr>
          <w:p w14:paraId="16DA1AFD" w14:textId="77777777" w:rsidR="00A16955" w:rsidRPr="00D43C26" w:rsidRDefault="00A16955" w:rsidP="009D767F">
            <w:pPr>
              <w:rPr>
                <w:sz w:val="20"/>
                <w:szCs w:val="20"/>
              </w:rPr>
            </w:pPr>
            <w:r w:rsidRPr="00D43C26">
              <w:rPr>
                <w:sz w:val="20"/>
                <w:szCs w:val="20"/>
              </w:rPr>
              <w:t>Clarity of concepts</w:t>
            </w:r>
          </w:p>
        </w:tc>
        <w:tc>
          <w:tcPr>
            <w:tcW w:w="5680" w:type="dxa"/>
            <w:hideMark/>
          </w:tcPr>
          <w:p w14:paraId="484A0ABD" w14:textId="77777777" w:rsidR="00A16955" w:rsidRPr="00D43C26" w:rsidRDefault="00A16955" w:rsidP="009D767F">
            <w:pPr>
              <w:rPr>
                <w:sz w:val="20"/>
                <w:szCs w:val="20"/>
              </w:rPr>
            </w:pPr>
            <w:r w:rsidRPr="00D43C26">
              <w:rPr>
                <w:sz w:val="20"/>
                <w:szCs w:val="20"/>
              </w:rPr>
              <w:t>Construct validity – Does it measure what it is supposed to? Is it clearly defined? Is a classification used? Is it discrete, exhaustive, and mutually exclusive (are there gaps or overlaps)?</w:t>
            </w:r>
          </w:p>
        </w:tc>
        <w:tc>
          <w:tcPr>
            <w:tcW w:w="2180" w:type="dxa"/>
            <w:hideMark/>
          </w:tcPr>
          <w:p w14:paraId="5B8AE2A7" w14:textId="77777777" w:rsidR="00A16955" w:rsidRPr="00D43C26" w:rsidRDefault="00A16955" w:rsidP="009D767F">
            <w:pPr>
              <w:rPr>
                <w:sz w:val="20"/>
                <w:szCs w:val="20"/>
              </w:rPr>
            </w:pPr>
            <w:r w:rsidRPr="00D43C26">
              <w:rPr>
                <w:sz w:val="20"/>
                <w:szCs w:val="20"/>
              </w:rPr>
              <w:t xml:space="preserve">Concept defined only partially, significant overlaps and gaps exist. </w:t>
            </w:r>
          </w:p>
        </w:tc>
        <w:tc>
          <w:tcPr>
            <w:tcW w:w="2180" w:type="dxa"/>
            <w:hideMark/>
          </w:tcPr>
          <w:p w14:paraId="7A261361" w14:textId="77777777" w:rsidR="00A16955" w:rsidRPr="00D43C26" w:rsidRDefault="00A16955" w:rsidP="009D767F">
            <w:pPr>
              <w:rPr>
                <w:sz w:val="20"/>
                <w:szCs w:val="20"/>
              </w:rPr>
            </w:pPr>
            <w:r w:rsidRPr="00D43C26">
              <w:rPr>
                <w:sz w:val="20"/>
                <w:szCs w:val="20"/>
              </w:rPr>
              <w:t>Clearly defined concept, yet either exhaustiveness or mutual exclusiveness are not guaranteed.</w:t>
            </w:r>
          </w:p>
        </w:tc>
        <w:tc>
          <w:tcPr>
            <w:tcW w:w="2180" w:type="dxa"/>
            <w:hideMark/>
          </w:tcPr>
          <w:p w14:paraId="21C273F7" w14:textId="77777777" w:rsidR="00A16955" w:rsidRPr="00D43C26" w:rsidRDefault="00A16955" w:rsidP="009D767F">
            <w:pPr>
              <w:rPr>
                <w:sz w:val="20"/>
                <w:szCs w:val="20"/>
              </w:rPr>
            </w:pPr>
            <w:r w:rsidRPr="00D43C26">
              <w:rPr>
                <w:sz w:val="20"/>
                <w:szCs w:val="20"/>
              </w:rPr>
              <w:t>Clearly defined concept, exhaustive and mutually exclusive of other (IFFs) concepts.</w:t>
            </w:r>
          </w:p>
        </w:tc>
      </w:tr>
      <w:tr w:rsidR="00A16955" w:rsidRPr="00D43C26" w14:paraId="3581A9CB" w14:textId="77777777" w:rsidTr="00447059">
        <w:trPr>
          <w:trHeight w:val="1840"/>
        </w:trPr>
        <w:tc>
          <w:tcPr>
            <w:tcW w:w="1360" w:type="dxa"/>
            <w:hideMark/>
          </w:tcPr>
          <w:p w14:paraId="3CC47333" w14:textId="77777777" w:rsidR="00A16955" w:rsidRPr="00D43C26" w:rsidRDefault="00A16955" w:rsidP="009D767F">
            <w:pPr>
              <w:rPr>
                <w:b/>
                <w:bCs/>
                <w:sz w:val="20"/>
                <w:szCs w:val="20"/>
              </w:rPr>
            </w:pPr>
            <w:r w:rsidRPr="00D43C26">
              <w:rPr>
                <w:b/>
                <w:bCs/>
                <w:sz w:val="20"/>
                <w:szCs w:val="20"/>
              </w:rPr>
              <w:t> </w:t>
            </w:r>
          </w:p>
        </w:tc>
        <w:tc>
          <w:tcPr>
            <w:tcW w:w="440" w:type="dxa"/>
            <w:hideMark/>
          </w:tcPr>
          <w:p w14:paraId="5784431E" w14:textId="77777777" w:rsidR="00A16955" w:rsidRPr="00D43C26" w:rsidRDefault="00A16955" w:rsidP="009D767F">
            <w:pPr>
              <w:rPr>
                <w:sz w:val="20"/>
                <w:szCs w:val="20"/>
              </w:rPr>
            </w:pPr>
            <w:r w:rsidRPr="00D43C26">
              <w:rPr>
                <w:sz w:val="20"/>
                <w:szCs w:val="20"/>
              </w:rPr>
              <w:t>3</w:t>
            </w:r>
          </w:p>
        </w:tc>
        <w:tc>
          <w:tcPr>
            <w:tcW w:w="2340" w:type="dxa"/>
            <w:hideMark/>
          </w:tcPr>
          <w:p w14:paraId="080FBCB4" w14:textId="77777777" w:rsidR="00A16955" w:rsidRPr="00D43C26" w:rsidRDefault="00A16955" w:rsidP="009D767F">
            <w:pPr>
              <w:rPr>
                <w:sz w:val="20"/>
                <w:szCs w:val="20"/>
              </w:rPr>
            </w:pPr>
            <w:r w:rsidRPr="00D43C26">
              <w:rPr>
                <w:sz w:val="20"/>
                <w:szCs w:val="20"/>
              </w:rPr>
              <w:t>Robustness</w:t>
            </w:r>
          </w:p>
        </w:tc>
        <w:tc>
          <w:tcPr>
            <w:tcW w:w="5680" w:type="dxa"/>
            <w:hideMark/>
          </w:tcPr>
          <w:p w14:paraId="5EC700F5" w14:textId="77777777" w:rsidR="00A16955" w:rsidRPr="00D43C26" w:rsidRDefault="00A16955" w:rsidP="009D767F">
            <w:pPr>
              <w:rPr>
                <w:sz w:val="20"/>
                <w:szCs w:val="20"/>
              </w:rPr>
            </w:pPr>
            <w:r w:rsidRPr="00D43C26">
              <w:rPr>
                <w:sz w:val="20"/>
                <w:szCs w:val="20"/>
              </w:rPr>
              <w:t>How stable are the results produced by the method? Will a repetition lead to similar results? What if conditions change?</w:t>
            </w:r>
          </w:p>
        </w:tc>
        <w:tc>
          <w:tcPr>
            <w:tcW w:w="2180" w:type="dxa"/>
            <w:hideMark/>
          </w:tcPr>
          <w:p w14:paraId="137CA05B" w14:textId="77777777" w:rsidR="00A16955" w:rsidRPr="00D43C26" w:rsidRDefault="00A16955" w:rsidP="009D767F">
            <w:pPr>
              <w:rPr>
                <w:sz w:val="20"/>
                <w:szCs w:val="20"/>
              </w:rPr>
            </w:pPr>
            <w:r w:rsidRPr="00D43C26">
              <w:rPr>
                <w:sz w:val="20"/>
                <w:szCs w:val="20"/>
              </w:rPr>
              <w:t xml:space="preserve">Methodology is based on several assumptions, requiring constant verification of the method to produce results. </w:t>
            </w:r>
          </w:p>
        </w:tc>
        <w:tc>
          <w:tcPr>
            <w:tcW w:w="2180" w:type="dxa"/>
            <w:hideMark/>
          </w:tcPr>
          <w:p w14:paraId="2F20855F" w14:textId="77777777" w:rsidR="00A16955" w:rsidRPr="00D43C26" w:rsidRDefault="00A16955" w:rsidP="009D767F">
            <w:pPr>
              <w:rPr>
                <w:sz w:val="20"/>
                <w:szCs w:val="20"/>
              </w:rPr>
            </w:pPr>
            <w:r w:rsidRPr="00D43C26">
              <w:rPr>
                <w:sz w:val="20"/>
                <w:szCs w:val="20"/>
              </w:rPr>
              <w:t xml:space="preserve">Several assumptions are required for the methodology to work, yet these are stable in space and time. </w:t>
            </w:r>
          </w:p>
        </w:tc>
        <w:tc>
          <w:tcPr>
            <w:tcW w:w="2180" w:type="dxa"/>
            <w:hideMark/>
          </w:tcPr>
          <w:p w14:paraId="0DA95DD7" w14:textId="77777777" w:rsidR="00A16955" w:rsidRPr="00D43C26" w:rsidRDefault="00A16955" w:rsidP="009D767F">
            <w:pPr>
              <w:rPr>
                <w:sz w:val="20"/>
                <w:szCs w:val="20"/>
              </w:rPr>
            </w:pPr>
            <w:r w:rsidRPr="00D43C26">
              <w:rPr>
                <w:sz w:val="20"/>
                <w:szCs w:val="20"/>
              </w:rPr>
              <w:t xml:space="preserve">Only a limited number of stable assumptions are required to produce statistics. </w:t>
            </w:r>
          </w:p>
        </w:tc>
      </w:tr>
      <w:tr w:rsidR="00A16955" w:rsidRPr="00D43C26" w14:paraId="2389AB1E" w14:textId="77777777" w:rsidTr="00447059">
        <w:trPr>
          <w:trHeight w:val="1525"/>
        </w:trPr>
        <w:tc>
          <w:tcPr>
            <w:tcW w:w="1360" w:type="dxa"/>
            <w:hideMark/>
          </w:tcPr>
          <w:p w14:paraId="4A5B9C6C" w14:textId="77777777" w:rsidR="00A16955" w:rsidRPr="00D43C26" w:rsidRDefault="00A16955" w:rsidP="009D767F">
            <w:pPr>
              <w:rPr>
                <w:b/>
                <w:bCs/>
                <w:sz w:val="20"/>
                <w:szCs w:val="20"/>
              </w:rPr>
            </w:pPr>
            <w:r w:rsidRPr="00D43C26">
              <w:rPr>
                <w:b/>
                <w:bCs/>
                <w:sz w:val="20"/>
                <w:szCs w:val="20"/>
              </w:rPr>
              <w:t> </w:t>
            </w:r>
          </w:p>
        </w:tc>
        <w:tc>
          <w:tcPr>
            <w:tcW w:w="440" w:type="dxa"/>
            <w:hideMark/>
          </w:tcPr>
          <w:p w14:paraId="378CC69C" w14:textId="77777777" w:rsidR="00A16955" w:rsidRPr="00D43C26" w:rsidRDefault="00A16955" w:rsidP="009D767F">
            <w:pPr>
              <w:rPr>
                <w:sz w:val="20"/>
                <w:szCs w:val="20"/>
              </w:rPr>
            </w:pPr>
            <w:r w:rsidRPr="00D43C26">
              <w:rPr>
                <w:sz w:val="20"/>
                <w:szCs w:val="20"/>
              </w:rPr>
              <w:t>4</w:t>
            </w:r>
          </w:p>
        </w:tc>
        <w:tc>
          <w:tcPr>
            <w:tcW w:w="2340" w:type="dxa"/>
            <w:hideMark/>
          </w:tcPr>
          <w:p w14:paraId="2EAC0D50" w14:textId="77777777" w:rsidR="00A16955" w:rsidRPr="00D43C26" w:rsidRDefault="00A16955" w:rsidP="009D767F">
            <w:pPr>
              <w:rPr>
                <w:sz w:val="20"/>
                <w:szCs w:val="20"/>
              </w:rPr>
            </w:pPr>
            <w:r w:rsidRPr="00D43C26">
              <w:rPr>
                <w:sz w:val="20"/>
                <w:szCs w:val="20"/>
              </w:rPr>
              <w:t>Transferability</w:t>
            </w:r>
          </w:p>
        </w:tc>
        <w:tc>
          <w:tcPr>
            <w:tcW w:w="5680" w:type="dxa"/>
            <w:hideMark/>
          </w:tcPr>
          <w:p w14:paraId="19878A36" w14:textId="77777777" w:rsidR="00A16955" w:rsidRPr="00D43C26" w:rsidRDefault="00A16955" w:rsidP="009D767F">
            <w:pPr>
              <w:rPr>
                <w:sz w:val="20"/>
                <w:szCs w:val="20"/>
              </w:rPr>
            </w:pPr>
            <w:r w:rsidRPr="00D43C26">
              <w:rPr>
                <w:sz w:val="20"/>
                <w:szCs w:val="20"/>
              </w:rPr>
              <w:t>How easy it is for someone else to use the method? Availability of empirical research or application of the method</w:t>
            </w:r>
          </w:p>
        </w:tc>
        <w:tc>
          <w:tcPr>
            <w:tcW w:w="2180" w:type="dxa"/>
            <w:hideMark/>
          </w:tcPr>
          <w:p w14:paraId="7FCDEC6A" w14:textId="77777777" w:rsidR="00A16955" w:rsidRPr="00D43C26" w:rsidRDefault="00A16955" w:rsidP="009D767F">
            <w:pPr>
              <w:rPr>
                <w:sz w:val="20"/>
                <w:szCs w:val="20"/>
              </w:rPr>
            </w:pPr>
            <w:r w:rsidRPr="00D43C26">
              <w:rPr>
                <w:sz w:val="20"/>
                <w:szCs w:val="20"/>
              </w:rPr>
              <w:t>Clear methodology and concept are set, yet poorly documented and without empirical research available.</w:t>
            </w:r>
          </w:p>
        </w:tc>
        <w:tc>
          <w:tcPr>
            <w:tcW w:w="2180" w:type="dxa"/>
            <w:hideMark/>
          </w:tcPr>
          <w:p w14:paraId="19F3A48F" w14:textId="77777777" w:rsidR="00A16955" w:rsidRPr="00D43C26" w:rsidRDefault="00A16955" w:rsidP="009D767F">
            <w:pPr>
              <w:rPr>
                <w:sz w:val="20"/>
                <w:szCs w:val="20"/>
              </w:rPr>
            </w:pPr>
            <w:r w:rsidRPr="00D43C26">
              <w:rPr>
                <w:sz w:val="20"/>
                <w:szCs w:val="20"/>
              </w:rPr>
              <w:t xml:space="preserve">Clear methodology and concept are well documented, yet without or only little empirical research to test the methodology. </w:t>
            </w:r>
          </w:p>
        </w:tc>
        <w:tc>
          <w:tcPr>
            <w:tcW w:w="2180" w:type="dxa"/>
            <w:hideMark/>
          </w:tcPr>
          <w:p w14:paraId="32FCB3C7" w14:textId="77777777" w:rsidR="00A16955" w:rsidRPr="00D43C26" w:rsidRDefault="00A16955" w:rsidP="009D767F">
            <w:pPr>
              <w:rPr>
                <w:sz w:val="20"/>
                <w:szCs w:val="20"/>
              </w:rPr>
            </w:pPr>
            <w:r w:rsidRPr="00D43C26">
              <w:rPr>
                <w:sz w:val="20"/>
                <w:szCs w:val="20"/>
              </w:rPr>
              <w:t xml:space="preserve">Clear methodology and concept are well documented with abundant empirical testing available in literature. </w:t>
            </w:r>
          </w:p>
        </w:tc>
      </w:tr>
      <w:tr w:rsidR="00A16955" w:rsidRPr="00D43C26" w14:paraId="3272A08D" w14:textId="77777777" w:rsidTr="00447059">
        <w:trPr>
          <w:trHeight w:val="2020"/>
        </w:trPr>
        <w:tc>
          <w:tcPr>
            <w:tcW w:w="1360" w:type="dxa"/>
            <w:hideMark/>
          </w:tcPr>
          <w:p w14:paraId="73765EDC" w14:textId="77777777" w:rsidR="00A16955" w:rsidRPr="00D43C26" w:rsidRDefault="00A16955" w:rsidP="009D767F">
            <w:pPr>
              <w:rPr>
                <w:b/>
                <w:bCs/>
                <w:sz w:val="20"/>
                <w:szCs w:val="20"/>
              </w:rPr>
            </w:pPr>
            <w:r w:rsidRPr="00D43C26">
              <w:rPr>
                <w:b/>
                <w:bCs/>
                <w:sz w:val="20"/>
                <w:szCs w:val="20"/>
              </w:rPr>
              <w:lastRenderedPageBreak/>
              <w:t> </w:t>
            </w:r>
          </w:p>
        </w:tc>
        <w:tc>
          <w:tcPr>
            <w:tcW w:w="440" w:type="dxa"/>
            <w:hideMark/>
          </w:tcPr>
          <w:p w14:paraId="1F220A45" w14:textId="77777777" w:rsidR="00A16955" w:rsidRPr="00D43C26" w:rsidRDefault="00A16955" w:rsidP="009D767F">
            <w:pPr>
              <w:rPr>
                <w:sz w:val="20"/>
                <w:szCs w:val="20"/>
              </w:rPr>
            </w:pPr>
            <w:r w:rsidRPr="00D43C26">
              <w:rPr>
                <w:sz w:val="20"/>
                <w:szCs w:val="20"/>
              </w:rPr>
              <w:t>5</w:t>
            </w:r>
          </w:p>
        </w:tc>
        <w:tc>
          <w:tcPr>
            <w:tcW w:w="2340" w:type="dxa"/>
            <w:hideMark/>
          </w:tcPr>
          <w:p w14:paraId="77F0C5B7" w14:textId="77777777" w:rsidR="00A16955" w:rsidRPr="00D43C26" w:rsidRDefault="00A16955" w:rsidP="009D767F">
            <w:pPr>
              <w:rPr>
                <w:sz w:val="20"/>
                <w:szCs w:val="20"/>
              </w:rPr>
            </w:pPr>
            <w:r w:rsidRPr="00D43C26">
              <w:rPr>
                <w:sz w:val="20"/>
                <w:szCs w:val="20"/>
              </w:rPr>
              <w:t>Equivalence</w:t>
            </w:r>
          </w:p>
        </w:tc>
        <w:tc>
          <w:tcPr>
            <w:tcW w:w="5680" w:type="dxa"/>
            <w:hideMark/>
          </w:tcPr>
          <w:p w14:paraId="6ADDF6B6" w14:textId="77777777" w:rsidR="00A16955" w:rsidRPr="00D43C26" w:rsidRDefault="00A16955" w:rsidP="009D767F">
            <w:pPr>
              <w:rPr>
                <w:sz w:val="20"/>
                <w:szCs w:val="20"/>
              </w:rPr>
            </w:pPr>
            <w:r w:rsidRPr="00D43C26">
              <w:rPr>
                <w:sz w:val="20"/>
                <w:szCs w:val="20"/>
              </w:rPr>
              <w:t>Does the method yield similar results when compared to other (sound) methods?</w:t>
            </w:r>
          </w:p>
        </w:tc>
        <w:tc>
          <w:tcPr>
            <w:tcW w:w="2180" w:type="dxa"/>
            <w:hideMark/>
          </w:tcPr>
          <w:p w14:paraId="604EA06C" w14:textId="77777777" w:rsidR="00A16955" w:rsidRPr="00D43C26" w:rsidRDefault="00A16955" w:rsidP="009D767F">
            <w:pPr>
              <w:rPr>
                <w:sz w:val="20"/>
                <w:szCs w:val="20"/>
              </w:rPr>
            </w:pPr>
            <w:r w:rsidRPr="00D43C26">
              <w:rPr>
                <w:sz w:val="20"/>
                <w:szCs w:val="20"/>
              </w:rPr>
              <w:t xml:space="preserve">Both levels and dynamics estimated by this method do not reasonably match with other methods' results. </w:t>
            </w:r>
          </w:p>
        </w:tc>
        <w:tc>
          <w:tcPr>
            <w:tcW w:w="2180" w:type="dxa"/>
            <w:hideMark/>
          </w:tcPr>
          <w:p w14:paraId="436D3643" w14:textId="77777777" w:rsidR="00A16955" w:rsidRPr="00D43C26" w:rsidRDefault="00A16955" w:rsidP="009D767F">
            <w:pPr>
              <w:rPr>
                <w:sz w:val="20"/>
                <w:szCs w:val="20"/>
              </w:rPr>
            </w:pPr>
            <w:r w:rsidRPr="00D43C26">
              <w:rPr>
                <w:sz w:val="20"/>
                <w:szCs w:val="20"/>
              </w:rPr>
              <w:t>Results differ from other methods with respect to the level of measured IFFs, whereas overall dynamics is in line with the other estimates.</w:t>
            </w:r>
          </w:p>
        </w:tc>
        <w:tc>
          <w:tcPr>
            <w:tcW w:w="2180" w:type="dxa"/>
            <w:hideMark/>
          </w:tcPr>
          <w:p w14:paraId="4FC778D0" w14:textId="77777777" w:rsidR="00A16955" w:rsidRPr="00D43C26" w:rsidRDefault="00A16955" w:rsidP="009D767F">
            <w:pPr>
              <w:rPr>
                <w:sz w:val="20"/>
                <w:szCs w:val="20"/>
              </w:rPr>
            </w:pPr>
            <w:r w:rsidRPr="00D43C26">
              <w:rPr>
                <w:sz w:val="20"/>
                <w:szCs w:val="20"/>
              </w:rPr>
              <w:t xml:space="preserve">Results are in line with other methods applied to the same IFFs measurement. </w:t>
            </w:r>
          </w:p>
        </w:tc>
      </w:tr>
      <w:tr w:rsidR="00A16955" w:rsidRPr="00D43C26" w14:paraId="5CFA4105" w14:textId="77777777" w:rsidTr="00447059">
        <w:trPr>
          <w:trHeight w:val="1525"/>
        </w:trPr>
        <w:tc>
          <w:tcPr>
            <w:tcW w:w="1360" w:type="dxa"/>
            <w:hideMark/>
          </w:tcPr>
          <w:p w14:paraId="728604A8" w14:textId="77777777" w:rsidR="00A16955" w:rsidRPr="00D43C26" w:rsidRDefault="00A16955" w:rsidP="009D767F">
            <w:pPr>
              <w:rPr>
                <w:b/>
                <w:bCs/>
                <w:sz w:val="20"/>
                <w:szCs w:val="20"/>
              </w:rPr>
            </w:pPr>
            <w:r w:rsidRPr="00D43C26">
              <w:rPr>
                <w:b/>
                <w:bCs/>
                <w:sz w:val="20"/>
                <w:szCs w:val="20"/>
              </w:rPr>
              <w:t> </w:t>
            </w:r>
          </w:p>
        </w:tc>
        <w:tc>
          <w:tcPr>
            <w:tcW w:w="440" w:type="dxa"/>
            <w:hideMark/>
          </w:tcPr>
          <w:p w14:paraId="1A6D8D28" w14:textId="77777777" w:rsidR="00A16955" w:rsidRPr="00D43C26" w:rsidRDefault="00A16955" w:rsidP="009D767F">
            <w:pPr>
              <w:rPr>
                <w:sz w:val="20"/>
                <w:szCs w:val="20"/>
              </w:rPr>
            </w:pPr>
            <w:r w:rsidRPr="00D43C26">
              <w:rPr>
                <w:sz w:val="20"/>
                <w:szCs w:val="20"/>
              </w:rPr>
              <w:t>6</w:t>
            </w:r>
          </w:p>
        </w:tc>
        <w:tc>
          <w:tcPr>
            <w:tcW w:w="2340" w:type="dxa"/>
            <w:hideMark/>
          </w:tcPr>
          <w:p w14:paraId="77CCEF33" w14:textId="77777777" w:rsidR="00A16955" w:rsidRPr="00D43C26" w:rsidRDefault="00A16955" w:rsidP="009D767F">
            <w:pPr>
              <w:rPr>
                <w:sz w:val="20"/>
                <w:szCs w:val="20"/>
              </w:rPr>
            </w:pPr>
            <w:r w:rsidRPr="00D43C26">
              <w:rPr>
                <w:sz w:val="20"/>
                <w:szCs w:val="20"/>
              </w:rPr>
              <w:t>Statistical alignment</w:t>
            </w:r>
          </w:p>
        </w:tc>
        <w:tc>
          <w:tcPr>
            <w:tcW w:w="5680" w:type="dxa"/>
            <w:hideMark/>
          </w:tcPr>
          <w:p w14:paraId="0C017629" w14:textId="77777777" w:rsidR="00A16955" w:rsidRPr="00D43C26" w:rsidRDefault="00A16955" w:rsidP="009D767F">
            <w:pPr>
              <w:rPr>
                <w:sz w:val="20"/>
                <w:szCs w:val="20"/>
              </w:rPr>
            </w:pPr>
            <w:r w:rsidRPr="00D43C26">
              <w:rPr>
                <w:sz w:val="20"/>
                <w:szCs w:val="20"/>
              </w:rPr>
              <w:t xml:space="preserve">Is the method </w:t>
            </w:r>
            <w:proofErr w:type="gramStart"/>
            <w:r w:rsidRPr="00D43C26">
              <w:rPr>
                <w:sz w:val="20"/>
                <w:szCs w:val="20"/>
              </w:rPr>
              <w:t>similar to</w:t>
            </w:r>
            <w:proofErr w:type="gramEnd"/>
            <w:r w:rsidRPr="00D43C26">
              <w:rPr>
                <w:sz w:val="20"/>
                <w:szCs w:val="20"/>
              </w:rPr>
              <w:t xml:space="preserve"> those applied in official statistics? Are the concepts and classifications aligned with official?</w:t>
            </w:r>
          </w:p>
        </w:tc>
        <w:tc>
          <w:tcPr>
            <w:tcW w:w="2180" w:type="dxa"/>
            <w:hideMark/>
          </w:tcPr>
          <w:p w14:paraId="2F1EB579" w14:textId="77777777" w:rsidR="00A16955" w:rsidRPr="00D43C26" w:rsidRDefault="00A16955" w:rsidP="009D767F">
            <w:pPr>
              <w:rPr>
                <w:sz w:val="20"/>
                <w:szCs w:val="20"/>
              </w:rPr>
            </w:pPr>
            <w:r w:rsidRPr="00D43C26">
              <w:rPr>
                <w:sz w:val="20"/>
                <w:szCs w:val="20"/>
              </w:rPr>
              <w:t>Only limited amount of method's concepts is related to the ones used in official statistics.</w:t>
            </w:r>
          </w:p>
        </w:tc>
        <w:tc>
          <w:tcPr>
            <w:tcW w:w="2180" w:type="dxa"/>
            <w:hideMark/>
          </w:tcPr>
          <w:p w14:paraId="4824ADBC" w14:textId="77777777" w:rsidR="00A16955" w:rsidRPr="00D43C26" w:rsidRDefault="00A16955" w:rsidP="009D767F">
            <w:pPr>
              <w:rPr>
                <w:sz w:val="20"/>
                <w:szCs w:val="20"/>
              </w:rPr>
            </w:pPr>
            <w:r w:rsidRPr="00D43C26">
              <w:rPr>
                <w:sz w:val="20"/>
                <w:szCs w:val="20"/>
              </w:rPr>
              <w:t xml:space="preserve">About half of concepts used in the methodology are aligned with those used in official statistics. </w:t>
            </w:r>
          </w:p>
        </w:tc>
        <w:tc>
          <w:tcPr>
            <w:tcW w:w="2180" w:type="dxa"/>
            <w:hideMark/>
          </w:tcPr>
          <w:p w14:paraId="4229E9C7" w14:textId="77777777" w:rsidR="00A16955" w:rsidRPr="00D43C26" w:rsidRDefault="00A16955" w:rsidP="009D767F">
            <w:pPr>
              <w:rPr>
                <w:sz w:val="20"/>
                <w:szCs w:val="20"/>
              </w:rPr>
            </w:pPr>
            <w:r w:rsidRPr="00D43C26">
              <w:rPr>
                <w:sz w:val="20"/>
                <w:szCs w:val="20"/>
              </w:rPr>
              <w:t xml:space="preserve">Method's concepts are fully compatible with official statistics' frameworks. </w:t>
            </w:r>
          </w:p>
        </w:tc>
      </w:tr>
      <w:tr w:rsidR="00A16955" w:rsidRPr="00D43C26" w14:paraId="78B97C46" w14:textId="77777777" w:rsidTr="00447059">
        <w:trPr>
          <w:trHeight w:val="2038"/>
        </w:trPr>
        <w:tc>
          <w:tcPr>
            <w:tcW w:w="1360" w:type="dxa"/>
            <w:hideMark/>
          </w:tcPr>
          <w:p w14:paraId="079D52D5" w14:textId="77777777" w:rsidR="00A16955" w:rsidRPr="00D43C26" w:rsidRDefault="00A16955" w:rsidP="009D767F">
            <w:pPr>
              <w:rPr>
                <w:b/>
                <w:bCs/>
                <w:sz w:val="20"/>
                <w:szCs w:val="20"/>
              </w:rPr>
            </w:pPr>
            <w:r w:rsidRPr="00D43C26">
              <w:rPr>
                <w:b/>
                <w:bCs/>
                <w:sz w:val="20"/>
                <w:szCs w:val="20"/>
              </w:rPr>
              <w:t> </w:t>
            </w:r>
          </w:p>
        </w:tc>
        <w:tc>
          <w:tcPr>
            <w:tcW w:w="440" w:type="dxa"/>
            <w:hideMark/>
          </w:tcPr>
          <w:p w14:paraId="397F6C14" w14:textId="77777777" w:rsidR="00A16955" w:rsidRPr="00D43C26" w:rsidRDefault="00A16955" w:rsidP="009D767F">
            <w:pPr>
              <w:rPr>
                <w:sz w:val="20"/>
                <w:szCs w:val="20"/>
              </w:rPr>
            </w:pPr>
            <w:r w:rsidRPr="00D43C26">
              <w:rPr>
                <w:sz w:val="20"/>
                <w:szCs w:val="20"/>
              </w:rPr>
              <w:t>7</w:t>
            </w:r>
          </w:p>
        </w:tc>
        <w:tc>
          <w:tcPr>
            <w:tcW w:w="2340" w:type="dxa"/>
            <w:hideMark/>
          </w:tcPr>
          <w:p w14:paraId="686205AB" w14:textId="77777777" w:rsidR="00A16955" w:rsidRPr="00D43C26" w:rsidRDefault="00A16955" w:rsidP="009D767F">
            <w:pPr>
              <w:rPr>
                <w:sz w:val="20"/>
                <w:szCs w:val="20"/>
              </w:rPr>
            </w:pPr>
            <w:r w:rsidRPr="00D43C26">
              <w:rPr>
                <w:sz w:val="20"/>
                <w:szCs w:val="20"/>
              </w:rPr>
              <w:t xml:space="preserve">Capacity requirements  </w:t>
            </w:r>
          </w:p>
        </w:tc>
        <w:tc>
          <w:tcPr>
            <w:tcW w:w="5680" w:type="dxa"/>
            <w:hideMark/>
          </w:tcPr>
          <w:p w14:paraId="13805920" w14:textId="77777777" w:rsidR="00A16955" w:rsidRPr="00D43C26" w:rsidRDefault="00A16955" w:rsidP="009D767F">
            <w:pPr>
              <w:rPr>
                <w:sz w:val="20"/>
                <w:szCs w:val="20"/>
              </w:rPr>
            </w:pPr>
            <w:r w:rsidRPr="00D43C26">
              <w:rPr>
                <w:sz w:val="20"/>
                <w:szCs w:val="20"/>
              </w:rPr>
              <w:t>How much resources and capacity are required for using the method?</w:t>
            </w:r>
          </w:p>
        </w:tc>
        <w:tc>
          <w:tcPr>
            <w:tcW w:w="2180" w:type="dxa"/>
            <w:hideMark/>
          </w:tcPr>
          <w:p w14:paraId="3DE7D899" w14:textId="77777777" w:rsidR="00A16955" w:rsidRPr="00D43C26" w:rsidRDefault="00A16955" w:rsidP="009D767F">
            <w:pPr>
              <w:rPr>
                <w:sz w:val="20"/>
                <w:szCs w:val="20"/>
              </w:rPr>
            </w:pPr>
            <w:r w:rsidRPr="00D43C26">
              <w:rPr>
                <w:sz w:val="20"/>
                <w:szCs w:val="20"/>
              </w:rPr>
              <w:t xml:space="preserve">Data are poorly available, or available but without proper methodological support and institutional collaboration required. </w:t>
            </w:r>
          </w:p>
        </w:tc>
        <w:tc>
          <w:tcPr>
            <w:tcW w:w="2180" w:type="dxa"/>
            <w:hideMark/>
          </w:tcPr>
          <w:p w14:paraId="026D335D" w14:textId="77777777" w:rsidR="00A16955" w:rsidRPr="00D43C26" w:rsidRDefault="00A16955" w:rsidP="009D767F">
            <w:pPr>
              <w:rPr>
                <w:sz w:val="20"/>
                <w:szCs w:val="20"/>
              </w:rPr>
            </w:pPr>
            <w:r w:rsidRPr="00D43C26">
              <w:rPr>
                <w:sz w:val="20"/>
                <w:szCs w:val="20"/>
              </w:rPr>
              <w:t xml:space="preserve">Some data are already available, methodologically developed to a certain degree. </w:t>
            </w:r>
          </w:p>
        </w:tc>
        <w:tc>
          <w:tcPr>
            <w:tcW w:w="2180" w:type="dxa"/>
            <w:hideMark/>
          </w:tcPr>
          <w:p w14:paraId="325818BB" w14:textId="77777777" w:rsidR="00A16955" w:rsidRPr="00D43C26" w:rsidRDefault="00A16955" w:rsidP="009D767F">
            <w:pPr>
              <w:rPr>
                <w:sz w:val="20"/>
                <w:szCs w:val="20"/>
              </w:rPr>
            </w:pPr>
            <w:r w:rsidRPr="00D43C26">
              <w:rPr>
                <w:sz w:val="20"/>
                <w:szCs w:val="20"/>
              </w:rPr>
              <w:t>Data, methodology and required collaboration are already in place in existing national statistical system.</w:t>
            </w:r>
          </w:p>
        </w:tc>
      </w:tr>
      <w:tr w:rsidR="00A16955" w:rsidRPr="00D43C26" w14:paraId="05D6FAC2" w14:textId="77777777" w:rsidTr="00447059">
        <w:trPr>
          <w:trHeight w:val="1200"/>
        </w:trPr>
        <w:tc>
          <w:tcPr>
            <w:tcW w:w="1360" w:type="dxa"/>
            <w:hideMark/>
          </w:tcPr>
          <w:p w14:paraId="7EE17F10" w14:textId="77777777" w:rsidR="00A16955" w:rsidRPr="00D43C26" w:rsidRDefault="00A16955" w:rsidP="009D767F">
            <w:pPr>
              <w:rPr>
                <w:b/>
                <w:bCs/>
                <w:sz w:val="20"/>
                <w:szCs w:val="20"/>
              </w:rPr>
            </w:pPr>
            <w:r w:rsidRPr="00D43C26">
              <w:rPr>
                <w:b/>
                <w:bCs/>
                <w:sz w:val="20"/>
                <w:szCs w:val="20"/>
              </w:rPr>
              <w:t xml:space="preserve">Source data </w:t>
            </w:r>
          </w:p>
        </w:tc>
        <w:tc>
          <w:tcPr>
            <w:tcW w:w="440" w:type="dxa"/>
            <w:hideMark/>
          </w:tcPr>
          <w:p w14:paraId="2BD48FE9" w14:textId="77777777" w:rsidR="00A16955" w:rsidRPr="00D43C26" w:rsidRDefault="00A16955" w:rsidP="009D767F">
            <w:pPr>
              <w:rPr>
                <w:sz w:val="20"/>
                <w:szCs w:val="20"/>
              </w:rPr>
            </w:pPr>
            <w:r w:rsidRPr="00D43C26">
              <w:rPr>
                <w:sz w:val="20"/>
                <w:szCs w:val="20"/>
              </w:rPr>
              <w:t>8</w:t>
            </w:r>
          </w:p>
        </w:tc>
        <w:tc>
          <w:tcPr>
            <w:tcW w:w="2340" w:type="dxa"/>
            <w:hideMark/>
          </w:tcPr>
          <w:p w14:paraId="14A1A44E" w14:textId="77777777" w:rsidR="00A16955" w:rsidRPr="00D43C26" w:rsidRDefault="00A16955" w:rsidP="009D767F">
            <w:pPr>
              <w:rPr>
                <w:sz w:val="20"/>
                <w:szCs w:val="20"/>
              </w:rPr>
            </w:pPr>
            <w:r w:rsidRPr="00D43C26">
              <w:rPr>
                <w:sz w:val="20"/>
                <w:szCs w:val="20"/>
              </w:rPr>
              <w:t>Timeliness</w:t>
            </w:r>
          </w:p>
        </w:tc>
        <w:tc>
          <w:tcPr>
            <w:tcW w:w="5680" w:type="dxa"/>
            <w:hideMark/>
          </w:tcPr>
          <w:p w14:paraId="182902D4" w14:textId="77777777" w:rsidR="00A16955" w:rsidRPr="00D43C26" w:rsidRDefault="00A16955" w:rsidP="009D767F">
            <w:pPr>
              <w:rPr>
                <w:sz w:val="20"/>
                <w:szCs w:val="20"/>
              </w:rPr>
            </w:pPr>
            <w:r w:rsidRPr="00D43C26">
              <w:rPr>
                <w:sz w:val="20"/>
                <w:szCs w:val="20"/>
              </w:rPr>
              <w:t>What is the delay of data becoming available after reference period?</w:t>
            </w:r>
          </w:p>
        </w:tc>
        <w:tc>
          <w:tcPr>
            <w:tcW w:w="2180" w:type="dxa"/>
            <w:hideMark/>
          </w:tcPr>
          <w:p w14:paraId="785E4538" w14:textId="77777777" w:rsidR="00A16955" w:rsidRPr="00D43C26" w:rsidRDefault="00A16955" w:rsidP="009D767F">
            <w:pPr>
              <w:rPr>
                <w:sz w:val="20"/>
                <w:szCs w:val="20"/>
              </w:rPr>
            </w:pPr>
            <w:r w:rsidRPr="00D43C26">
              <w:rPr>
                <w:sz w:val="20"/>
                <w:szCs w:val="20"/>
              </w:rPr>
              <w:t>Data are available with a time lag of more than one year.</w:t>
            </w:r>
          </w:p>
        </w:tc>
        <w:tc>
          <w:tcPr>
            <w:tcW w:w="2180" w:type="dxa"/>
            <w:hideMark/>
          </w:tcPr>
          <w:p w14:paraId="53927D1D" w14:textId="77777777" w:rsidR="00A16955" w:rsidRPr="00D43C26" w:rsidRDefault="00A16955" w:rsidP="009D767F">
            <w:pPr>
              <w:rPr>
                <w:sz w:val="20"/>
                <w:szCs w:val="20"/>
              </w:rPr>
            </w:pPr>
            <w:r w:rsidRPr="00D43C26">
              <w:rPr>
                <w:sz w:val="20"/>
                <w:szCs w:val="20"/>
              </w:rPr>
              <w:t xml:space="preserve">Data are available with a time lag of a quarter to a year. </w:t>
            </w:r>
          </w:p>
        </w:tc>
        <w:tc>
          <w:tcPr>
            <w:tcW w:w="2180" w:type="dxa"/>
            <w:hideMark/>
          </w:tcPr>
          <w:p w14:paraId="35D6A078" w14:textId="77777777" w:rsidR="00A16955" w:rsidRPr="00D43C26" w:rsidRDefault="00A16955" w:rsidP="009D767F">
            <w:pPr>
              <w:rPr>
                <w:sz w:val="20"/>
                <w:szCs w:val="20"/>
              </w:rPr>
            </w:pPr>
            <w:r w:rsidRPr="00D43C26">
              <w:rPr>
                <w:sz w:val="20"/>
                <w:szCs w:val="20"/>
              </w:rPr>
              <w:t xml:space="preserve">Data are available immediately or with a time lag of less than a quarter of a year. </w:t>
            </w:r>
          </w:p>
        </w:tc>
      </w:tr>
      <w:tr w:rsidR="00A16955" w:rsidRPr="00D43C26" w14:paraId="064C5A40" w14:textId="77777777" w:rsidTr="00447059">
        <w:trPr>
          <w:trHeight w:val="1750"/>
        </w:trPr>
        <w:tc>
          <w:tcPr>
            <w:tcW w:w="1360" w:type="dxa"/>
            <w:hideMark/>
          </w:tcPr>
          <w:p w14:paraId="235E8BD1" w14:textId="77777777" w:rsidR="00A16955" w:rsidRPr="00D43C26" w:rsidRDefault="00A16955" w:rsidP="009D767F">
            <w:pPr>
              <w:rPr>
                <w:b/>
                <w:bCs/>
                <w:sz w:val="20"/>
                <w:szCs w:val="20"/>
              </w:rPr>
            </w:pPr>
            <w:r w:rsidRPr="00D43C26">
              <w:rPr>
                <w:b/>
                <w:bCs/>
                <w:sz w:val="20"/>
                <w:szCs w:val="20"/>
              </w:rPr>
              <w:lastRenderedPageBreak/>
              <w:t> </w:t>
            </w:r>
          </w:p>
        </w:tc>
        <w:tc>
          <w:tcPr>
            <w:tcW w:w="440" w:type="dxa"/>
            <w:hideMark/>
          </w:tcPr>
          <w:p w14:paraId="7D269243" w14:textId="77777777" w:rsidR="00A16955" w:rsidRPr="00D43C26" w:rsidRDefault="00A16955" w:rsidP="009D767F">
            <w:pPr>
              <w:rPr>
                <w:sz w:val="20"/>
                <w:szCs w:val="20"/>
              </w:rPr>
            </w:pPr>
            <w:r w:rsidRPr="00D43C26">
              <w:rPr>
                <w:sz w:val="20"/>
                <w:szCs w:val="20"/>
              </w:rPr>
              <w:t>9</w:t>
            </w:r>
          </w:p>
        </w:tc>
        <w:tc>
          <w:tcPr>
            <w:tcW w:w="2340" w:type="dxa"/>
            <w:hideMark/>
          </w:tcPr>
          <w:p w14:paraId="4BC5FD2A" w14:textId="77777777" w:rsidR="00A16955" w:rsidRPr="00D43C26" w:rsidRDefault="00A16955" w:rsidP="009D767F">
            <w:pPr>
              <w:rPr>
                <w:sz w:val="20"/>
                <w:szCs w:val="20"/>
              </w:rPr>
            </w:pPr>
            <w:r w:rsidRPr="00D43C26">
              <w:rPr>
                <w:sz w:val="20"/>
                <w:szCs w:val="20"/>
              </w:rPr>
              <w:t>Availability</w:t>
            </w:r>
          </w:p>
        </w:tc>
        <w:tc>
          <w:tcPr>
            <w:tcW w:w="5680" w:type="dxa"/>
            <w:hideMark/>
          </w:tcPr>
          <w:p w14:paraId="058E1299" w14:textId="77777777" w:rsidR="00A16955" w:rsidRPr="00D43C26" w:rsidRDefault="00A16955" w:rsidP="009D767F">
            <w:pPr>
              <w:rPr>
                <w:sz w:val="20"/>
                <w:szCs w:val="20"/>
              </w:rPr>
            </w:pPr>
            <w:r w:rsidRPr="00D43C26">
              <w:rPr>
                <w:sz w:val="20"/>
                <w:szCs w:val="20"/>
              </w:rPr>
              <w:t>How easily available are these data to statistical authorities? Are these available in many/most countries?</w:t>
            </w:r>
          </w:p>
        </w:tc>
        <w:tc>
          <w:tcPr>
            <w:tcW w:w="2180" w:type="dxa"/>
            <w:hideMark/>
          </w:tcPr>
          <w:p w14:paraId="366C1EFF" w14:textId="77777777" w:rsidR="00A16955" w:rsidRPr="00D43C26" w:rsidRDefault="00A16955" w:rsidP="009D767F">
            <w:pPr>
              <w:rPr>
                <w:sz w:val="20"/>
                <w:szCs w:val="20"/>
              </w:rPr>
            </w:pPr>
            <w:r w:rsidRPr="00D43C26">
              <w:rPr>
                <w:sz w:val="20"/>
                <w:szCs w:val="20"/>
              </w:rPr>
              <w:t>Data are readily available only in a few countries (issues with sensitivity, privacy, confidentiality, unwillingness to cooperate).</w:t>
            </w:r>
          </w:p>
        </w:tc>
        <w:tc>
          <w:tcPr>
            <w:tcW w:w="2180" w:type="dxa"/>
            <w:hideMark/>
          </w:tcPr>
          <w:p w14:paraId="6CEDE4F1" w14:textId="77777777" w:rsidR="00A16955" w:rsidRPr="00D43C26" w:rsidRDefault="00A16955" w:rsidP="009D767F">
            <w:pPr>
              <w:rPr>
                <w:sz w:val="20"/>
                <w:szCs w:val="20"/>
              </w:rPr>
            </w:pPr>
            <w:r w:rsidRPr="00D43C26">
              <w:rPr>
                <w:sz w:val="20"/>
                <w:szCs w:val="20"/>
              </w:rPr>
              <w:t>Data are readily available in some countries, but not in others, e.g., developing countries.</w:t>
            </w:r>
          </w:p>
        </w:tc>
        <w:tc>
          <w:tcPr>
            <w:tcW w:w="2180" w:type="dxa"/>
            <w:hideMark/>
          </w:tcPr>
          <w:p w14:paraId="7D74D640" w14:textId="77777777" w:rsidR="00A16955" w:rsidRPr="00D43C26" w:rsidRDefault="00A16955" w:rsidP="009D767F">
            <w:pPr>
              <w:rPr>
                <w:sz w:val="20"/>
                <w:szCs w:val="20"/>
              </w:rPr>
            </w:pPr>
            <w:r w:rsidRPr="00D43C26">
              <w:rPr>
                <w:sz w:val="20"/>
                <w:szCs w:val="20"/>
              </w:rPr>
              <w:t>Data are readily available with little to no barriers to access.</w:t>
            </w:r>
          </w:p>
        </w:tc>
      </w:tr>
      <w:tr w:rsidR="00A16955" w:rsidRPr="00D43C26" w14:paraId="5E09EC40" w14:textId="77777777" w:rsidTr="00447059">
        <w:trPr>
          <w:trHeight w:val="958"/>
        </w:trPr>
        <w:tc>
          <w:tcPr>
            <w:tcW w:w="1360" w:type="dxa"/>
            <w:hideMark/>
          </w:tcPr>
          <w:p w14:paraId="3A2F0C9C" w14:textId="77777777" w:rsidR="00A16955" w:rsidRPr="00D43C26" w:rsidRDefault="00A16955" w:rsidP="009D767F">
            <w:pPr>
              <w:rPr>
                <w:b/>
                <w:bCs/>
                <w:sz w:val="20"/>
                <w:szCs w:val="20"/>
              </w:rPr>
            </w:pPr>
            <w:r w:rsidRPr="00D43C26">
              <w:rPr>
                <w:b/>
                <w:bCs/>
                <w:sz w:val="20"/>
                <w:szCs w:val="20"/>
              </w:rPr>
              <w:t> </w:t>
            </w:r>
          </w:p>
        </w:tc>
        <w:tc>
          <w:tcPr>
            <w:tcW w:w="440" w:type="dxa"/>
            <w:hideMark/>
          </w:tcPr>
          <w:p w14:paraId="3A03A1D3" w14:textId="77777777" w:rsidR="00A16955" w:rsidRPr="00D43C26" w:rsidRDefault="00A16955" w:rsidP="009D767F">
            <w:pPr>
              <w:rPr>
                <w:sz w:val="20"/>
                <w:szCs w:val="20"/>
              </w:rPr>
            </w:pPr>
            <w:r w:rsidRPr="00D43C26">
              <w:rPr>
                <w:sz w:val="20"/>
                <w:szCs w:val="20"/>
              </w:rPr>
              <w:t>10</w:t>
            </w:r>
          </w:p>
        </w:tc>
        <w:tc>
          <w:tcPr>
            <w:tcW w:w="2340" w:type="dxa"/>
            <w:hideMark/>
          </w:tcPr>
          <w:p w14:paraId="3863FDBC" w14:textId="77777777" w:rsidR="00A16955" w:rsidRPr="00D43C26" w:rsidRDefault="00A16955" w:rsidP="009D767F">
            <w:pPr>
              <w:rPr>
                <w:sz w:val="20"/>
                <w:szCs w:val="20"/>
              </w:rPr>
            </w:pPr>
            <w:r w:rsidRPr="00D43C26">
              <w:rPr>
                <w:sz w:val="20"/>
                <w:szCs w:val="20"/>
              </w:rPr>
              <w:t>Fit for purpose</w:t>
            </w:r>
          </w:p>
        </w:tc>
        <w:tc>
          <w:tcPr>
            <w:tcW w:w="5680" w:type="dxa"/>
            <w:hideMark/>
          </w:tcPr>
          <w:p w14:paraId="6F09E638" w14:textId="77777777" w:rsidR="00A16955" w:rsidRPr="00D43C26" w:rsidRDefault="00A16955" w:rsidP="009D767F">
            <w:pPr>
              <w:rPr>
                <w:sz w:val="20"/>
                <w:szCs w:val="20"/>
              </w:rPr>
            </w:pPr>
            <w:r w:rsidRPr="00D43C26">
              <w:rPr>
                <w:sz w:val="20"/>
                <w:szCs w:val="20"/>
              </w:rPr>
              <w:t>Do these data provide information on IFFs, directly or indirectly? Which IFFs do they address?</w:t>
            </w:r>
          </w:p>
        </w:tc>
        <w:tc>
          <w:tcPr>
            <w:tcW w:w="2180" w:type="dxa"/>
            <w:hideMark/>
          </w:tcPr>
          <w:p w14:paraId="69D1D2C6" w14:textId="77777777" w:rsidR="00A16955" w:rsidRPr="00D43C26" w:rsidRDefault="00A16955" w:rsidP="009D767F">
            <w:pPr>
              <w:rPr>
                <w:sz w:val="20"/>
                <w:szCs w:val="20"/>
              </w:rPr>
            </w:pPr>
            <w:r w:rsidRPr="00D43C26">
              <w:rPr>
                <w:sz w:val="20"/>
                <w:szCs w:val="20"/>
              </w:rPr>
              <w:t xml:space="preserve">Data are provided indirectly for only some IFFs activities. </w:t>
            </w:r>
          </w:p>
        </w:tc>
        <w:tc>
          <w:tcPr>
            <w:tcW w:w="2180" w:type="dxa"/>
            <w:hideMark/>
          </w:tcPr>
          <w:p w14:paraId="318FED71" w14:textId="77777777" w:rsidR="00A16955" w:rsidRPr="00D43C26" w:rsidRDefault="00A16955" w:rsidP="009D767F">
            <w:pPr>
              <w:rPr>
                <w:sz w:val="20"/>
                <w:szCs w:val="20"/>
              </w:rPr>
            </w:pPr>
            <w:r w:rsidRPr="00D43C26">
              <w:rPr>
                <w:sz w:val="20"/>
                <w:szCs w:val="20"/>
              </w:rPr>
              <w:t xml:space="preserve">Data are provided only indirectly for most of IFFs activities. </w:t>
            </w:r>
          </w:p>
        </w:tc>
        <w:tc>
          <w:tcPr>
            <w:tcW w:w="2180" w:type="dxa"/>
            <w:hideMark/>
          </w:tcPr>
          <w:p w14:paraId="7994D706" w14:textId="77777777" w:rsidR="00A16955" w:rsidRPr="00D43C26" w:rsidRDefault="00A16955" w:rsidP="009D767F">
            <w:pPr>
              <w:rPr>
                <w:sz w:val="20"/>
                <w:szCs w:val="20"/>
              </w:rPr>
            </w:pPr>
            <w:r w:rsidRPr="00D43C26">
              <w:rPr>
                <w:sz w:val="20"/>
                <w:szCs w:val="20"/>
              </w:rPr>
              <w:t>Data on IFFs are provided directly, covering all IFFs activities.</w:t>
            </w:r>
          </w:p>
        </w:tc>
      </w:tr>
      <w:tr w:rsidR="00A16955" w:rsidRPr="00D43C26" w14:paraId="514CDD11" w14:textId="77777777" w:rsidTr="00447059">
        <w:trPr>
          <w:trHeight w:val="1471"/>
        </w:trPr>
        <w:tc>
          <w:tcPr>
            <w:tcW w:w="1360" w:type="dxa"/>
            <w:hideMark/>
          </w:tcPr>
          <w:p w14:paraId="3DB942D2" w14:textId="77777777" w:rsidR="00A16955" w:rsidRPr="00D43C26" w:rsidRDefault="00A16955" w:rsidP="009D767F">
            <w:pPr>
              <w:rPr>
                <w:b/>
                <w:bCs/>
                <w:sz w:val="20"/>
                <w:szCs w:val="20"/>
              </w:rPr>
            </w:pPr>
            <w:r w:rsidRPr="00D43C26">
              <w:rPr>
                <w:b/>
                <w:bCs/>
                <w:sz w:val="20"/>
                <w:szCs w:val="20"/>
              </w:rPr>
              <w:t> </w:t>
            </w:r>
          </w:p>
        </w:tc>
        <w:tc>
          <w:tcPr>
            <w:tcW w:w="440" w:type="dxa"/>
            <w:hideMark/>
          </w:tcPr>
          <w:p w14:paraId="07453787" w14:textId="77777777" w:rsidR="00A16955" w:rsidRPr="00D43C26" w:rsidRDefault="00A16955" w:rsidP="009D767F">
            <w:pPr>
              <w:rPr>
                <w:sz w:val="20"/>
                <w:szCs w:val="20"/>
              </w:rPr>
            </w:pPr>
            <w:r w:rsidRPr="00D43C26">
              <w:rPr>
                <w:sz w:val="20"/>
                <w:szCs w:val="20"/>
              </w:rPr>
              <w:t>11</w:t>
            </w:r>
          </w:p>
        </w:tc>
        <w:tc>
          <w:tcPr>
            <w:tcW w:w="2340" w:type="dxa"/>
            <w:hideMark/>
          </w:tcPr>
          <w:p w14:paraId="056FE33B" w14:textId="77777777" w:rsidR="00A16955" w:rsidRPr="00D43C26" w:rsidRDefault="00A16955" w:rsidP="009D767F">
            <w:pPr>
              <w:rPr>
                <w:sz w:val="20"/>
                <w:szCs w:val="20"/>
              </w:rPr>
            </w:pPr>
            <w:r w:rsidRPr="00D43C26">
              <w:rPr>
                <w:sz w:val="20"/>
                <w:szCs w:val="20"/>
              </w:rPr>
              <w:t>Coverage</w:t>
            </w:r>
          </w:p>
        </w:tc>
        <w:tc>
          <w:tcPr>
            <w:tcW w:w="5680" w:type="dxa"/>
            <w:hideMark/>
          </w:tcPr>
          <w:p w14:paraId="306CEFDA" w14:textId="77777777" w:rsidR="00A16955" w:rsidRPr="00D43C26" w:rsidRDefault="00A16955" w:rsidP="009D767F">
            <w:pPr>
              <w:rPr>
                <w:sz w:val="20"/>
                <w:szCs w:val="20"/>
              </w:rPr>
            </w:pPr>
            <w:r w:rsidRPr="00D43C26">
              <w:rPr>
                <w:sz w:val="20"/>
                <w:szCs w:val="20"/>
              </w:rPr>
              <w:t>Do the data cover the issues to be measured? Which IFFs are covered? What are the gaps and overlaps?</w:t>
            </w:r>
          </w:p>
        </w:tc>
        <w:tc>
          <w:tcPr>
            <w:tcW w:w="2180" w:type="dxa"/>
            <w:hideMark/>
          </w:tcPr>
          <w:p w14:paraId="5E3A587B" w14:textId="77777777" w:rsidR="00A16955" w:rsidRPr="00D43C26" w:rsidRDefault="00A16955" w:rsidP="009D767F">
            <w:pPr>
              <w:rPr>
                <w:sz w:val="20"/>
                <w:szCs w:val="20"/>
              </w:rPr>
            </w:pPr>
            <w:r w:rsidRPr="00D43C26">
              <w:rPr>
                <w:sz w:val="20"/>
                <w:szCs w:val="20"/>
              </w:rPr>
              <w:t xml:space="preserve">Data provide only limited IFFs coverage in terms of activities, breakdown, or actors. </w:t>
            </w:r>
          </w:p>
        </w:tc>
        <w:tc>
          <w:tcPr>
            <w:tcW w:w="2180" w:type="dxa"/>
            <w:hideMark/>
          </w:tcPr>
          <w:p w14:paraId="7F616229" w14:textId="77777777" w:rsidR="00A16955" w:rsidRPr="00D43C26" w:rsidRDefault="00A16955" w:rsidP="009D767F">
            <w:pPr>
              <w:rPr>
                <w:sz w:val="20"/>
                <w:szCs w:val="20"/>
              </w:rPr>
            </w:pPr>
            <w:r w:rsidRPr="00D43C26">
              <w:rPr>
                <w:sz w:val="20"/>
                <w:szCs w:val="20"/>
              </w:rPr>
              <w:t xml:space="preserve">Data cover most of the IFFs and provide required breakdown, yet gaps and overlaps exist. </w:t>
            </w:r>
          </w:p>
        </w:tc>
        <w:tc>
          <w:tcPr>
            <w:tcW w:w="2180" w:type="dxa"/>
            <w:hideMark/>
          </w:tcPr>
          <w:p w14:paraId="55FFCC49" w14:textId="77777777" w:rsidR="00A16955" w:rsidRPr="00D43C26" w:rsidRDefault="00A16955" w:rsidP="009D767F">
            <w:pPr>
              <w:rPr>
                <w:sz w:val="20"/>
                <w:szCs w:val="20"/>
              </w:rPr>
            </w:pPr>
            <w:r w:rsidRPr="00D43C26">
              <w:rPr>
                <w:sz w:val="20"/>
                <w:szCs w:val="20"/>
              </w:rPr>
              <w:t xml:space="preserve">Complete and exhaustive coverage of the IFFs activities and actors (individuals and entities). </w:t>
            </w:r>
          </w:p>
        </w:tc>
      </w:tr>
      <w:tr w:rsidR="00A16955" w:rsidRPr="00D43C26" w14:paraId="5EC4D54C" w14:textId="77777777" w:rsidTr="00447059">
        <w:trPr>
          <w:trHeight w:val="1525"/>
        </w:trPr>
        <w:tc>
          <w:tcPr>
            <w:tcW w:w="1360" w:type="dxa"/>
            <w:hideMark/>
          </w:tcPr>
          <w:p w14:paraId="0CC9B922" w14:textId="77777777" w:rsidR="00A16955" w:rsidRPr="00D43C26" w:rsidRDefault="00A16955" w:rsidP="009D767F">
            <w:pPr>
              <w:rPr>
                <w:b/>
                <w:bCs/>
                <w:sz w:val="20"/>
                <w:szCs w:val="20"/>
              </w:rPr>
            </w:pPr>
            <w:r w:rsidRPr="00D43C26">
              <w:rPr>
                <w:b/>
                <w:bCs/>
                <w:sz w:val="20"/>
                <w:szCs w:val="20"/>
              </w:rPr>
              <w:t> </w:t>
            </w:r>
          </w:p>
        </w:tc>
        <w:tc>
          <w:tcPr>
            <w:tcW w:w="440" w:type="dxa"/>
            <w:hideMark/>
          </w:tcPr>
          <w:p w14:paraId="31D00CAB" w14:textId="77777777" w:rsidR="00A16955" w:rsidRPr="00D43C26" w:rsidRDefault="00A16955" w:rsidP="009D767F">
            <w:pPr>
              <w:rPr>
                <w:sz w:val="20"/>
                <w:szCs w:val="20"/>
              </w:rPr>
            </w:pPr>
            <w:r w:rsidRPr="00D43C26">
              <w:rPr>
                <w:sz w:val="20"/>
                <w:szCs w:val="20"/>
              </w:rPr>
              <w:t>12</w:t>
            </w:r>
          </w:p>
        </w:tc>
        <w:tc>
          <w:tcPr>
            <w:tcW w:w="2340" w:type="dxa"/>
            <w:hideMark/>
          </w:tcPr>
          <w:p w14:paraId="1582C242" w14:textId="77777777" w:rsidR="00A16955" w:rsidRPr="00D43C26" w:rsidRDefault="00A16955" w:rsidP="009D767F">
            <w:pPr>
              <w:rPr>
                <w:sz w:val="20"/>
                <w:szCs w:val="20"/>
              </w:rPr>
            </w:pPr>
            <w:r w:rsidRPr="00D43C26">
              <w:rPr>
                <w:sz w:val="20"/>
                <w:szCs w:val="20"/>
              </w:rPr>
              <w:t>Granularity</w:t>
            </w:r>
          </w:p>
        </w:tc>
        <w:tc>
          <w:tcPr>
            <w:tcW w:w="5680" w:type="dxa"/>
            <w:hideMark/>
          </w:tcPr>
          <w:p w14:paraId="5463120D" w14:textId="77777777" w:rsidR="00A16955" w:rsidRPr="00D43C26" w:rsidRDefault="00A16955" w:rsidP="009D767F">
            <w:pPr>
              <w:rPr>
                <w:sz w:val="20"/>
                <w:szCs w:val="20"/>
              </w:rPr>
            </w:pPr>
            <w:r w:rsidRPr="00D43C26">
              <w:rPr>
                <w:sz w:val="20"/>
                <w:szCs w:val="20"/>
              </w:rPr>
              <w:t>How detailed are the data? Frequency.</w:t>
            </w:r>
          </w:p>
        </w:tc>
        <w:tc>
          <w:tcPr>
            <w:tcW w:w="2180" w:type="dxa"/>
            <w:hideMark/>
          </w:tcPr>
          <w:p w14:paraId="77B85FC6" w14:textId="77777777" w:rsidR="00A16955" w:rsidRPr="00D43C26" w:rsidRDefault="00A16955" w:rsidP="009D767F">
            <w:pPr>
              <w:rPr>
                <w:sz w:val="20"/>
                <w:szCs w:val="20"/>
              </w:rPr>
            </w:pPr>
            <w:r w:rsidRPr="00D43C26">
              <w:rPr>
                <w:sz w:val="20"/>
                <w:szCs w:val="20"/>
              </w:rPr>
              <w:t xml:space="preserve">Data are aggregated at country-level and annually. </w:t>
            </w:r>
          </w:p>
        </w:tc>
        <w:tc>
          <w:tcPr>
            <w:tcW w:w="2180" w:type="dxa"/>
            <w:hideMark/>
          </w:tcPr>
          <w:p w14:paraId="773F3413" w14:textId="77777777" w:rsidR="00A16955" w:rsidRPr="00D43C26" w:rsidRDefault="00A16955" w:rsidP="009D767F">
            <w:pPr>
              <w:rPr>
                <w:sz w:val="20"/>
                <w:szCs w:val="20"/>
              </w:rPr>
            </w:pPr>
            <w:r w:rsidRPr="00D43C26">
              <w:rPr>
                <w:sz w:val="20"/>
                <w:szCs w:val="20"/>
              </w:rPr>
              <w:t xml:space="preserve">Data are aggregated at middle-level, e.g., product-level, available on a monthly or less frequent periodicity. </w:t>
            </w:r>
          </w:p>
        </w:tc>
        <w:tc>
          <w:tcPr>
            <w:tcW w:w="2180" w:type="dxa"/>
            <w:hideMark/>
          </w:tcPr>
          <w:p w14:paraId="4EBDB490" w14:textId="77777777" w:rsidR="00A16955" w:rsidRPr="00D43C26" w:rsidRDefault="00A16955" w:rsidP="009D767F">
            <w:pPr>
              <w:rPr>
                <w:sz w:val="20"/>
                <w:szCs w:val="20"/>
              </w:rPr>
            </w:pPr>
            <w:r w:rsidRPr="00D43C26">
              <w:rPr>
                <w:sz w:val="20"/>
                <w:szCs w:val="20"/>
              </w:rPr>
              <w:t xml:space="preserve">Data are transaction-level microdata. </w:t>
            </w:r>
          </w:p>
        </w:tc>
      </w:tr>
      <w:tr w:rsidR="00A16955" w:rsidRPr="00D43C26" w14:paraId="60F08A75" w14:textId="77777777" w:rsidTr="00447059">
        <w:trPr>
          <w:trHeight w:val="2020"/>
        </w:trPr>
        <w:tc>
          <w:tcPr>
            <w:tcW w:w="1360" w:type="dxa"/>
            <w:hideMark/>
          </w:tcPr>
          <w:p w14:paraId="4037AE69" w14:textId="77777777" w:rsidR="00A16955" w:rsidRPr="00D43C26" w:rsidRDefault="00A16955" w:rsidP="009D767F">
            <w:pPr>
              <w:rPr>
                <w:b/>
                <w:bCs/>
                <w:sz w:val="20"/>
                <w:szCs w:val="20"/>
              </w:rPr>
            </w:pPr>
            <w:r w:rsidRPr="00D43C26">
              <w:rPr>
                <w:b/>
                <w:bCs/>
                <w:sz w:val="20"/>
                <w:szCs w:val="20"/>
              </w:rPr>
              <w:lastRenderedPageBreak/>
              <w:t> </w:t>
            </w:r>
          </w:p>
        </w:tc>
        <w:tc>
          <w:tcPr>
            <w:tcW w:w="440" w:type="dxa"/>
            <w:hideMark/>
          </w:tcPr>
          <w:p w14:paraId="332AB7E7" w14:textId="77777777" w:rsidR="00A16955" w:rsidRPr="00D43C26" w:rsidRDefault="00A16955" w:rsidP="009D767F">
            <w:pPr>
              <w:rPr>
                <w:sz w:val="20"/>
                <w:szCs w:val="20"/>
              </w:rPr>
            </w:pPr>
            <w:r w:rsidRPr="00D43C26">
              <w:rPr>
                <w:sz w:val="20"/>
                <w:szCs w:val="20"/>
              </w:rPr>
              <w:t>13</w:t>
            </w:r>
          </w:p>
        </w:tc>
        <w:tc>
          <w:tcPr>
            <w:tcW w:w="2340" w:type="dxa"/>
            <w:hideMark/>
          </w:tcPr>
          <w:p w14:paraId="08DDF6E2" w14:textId="77777777" w:rsidR="00A16955" w:rsidRPr="00D43C26" w:rsidRDefault="00A16955" w:rsidP="009D767F">
            <w:pPr>
              <w:rPr>
                <w:sz w:val="20"/>
                <w:szCs w:val="20"/>
              </w:rPr>
            </w:pPr>
            <w:r w:rsidRPr="00D43C26">
              <w:rPr>
                <w:sz w:val="20"/>
                <w:szCs w:val="20"/>
              </w:rPr>
              <w:t>Interoperability</w:t>
            </w:r>
          </w:p>
        </w:tc>
        <w:tc>
          <w:tcPr>
            <w:tcW w:w="5680" w:type="dxa"/>
            <w:hideMark/>
          </w:tcPr>
          <w:p w14:paraId="4654E709" w14:textId="77777777" w:rsidR="00A16955" w:rsidRPr="00D43C26" w:rsidRDefault="00A16955" w:rsidP="009D767F">
            <w:pPr>
              <w:rPr>
                <w:sz w:val="20"/>
                <w:szCs w:val="20"/>
              </w:rPr>
            </w:pPr>
            <w:r w:rsidRPr="00D43C26">
              <w:rPr>
                <w:sz w:val="20"/>
                <w:szCs w:val="20"/>
              </w:rPr>
              <w:t>Can the data be integrated with other data? Does the dataset include identifiers and classifiers?</w:t>
            </w:r>
          </w:p>
        </w:tc>
        <w:tc>
          <w:tcPr>
            <w:tcW w:w="2180" w:type="dxa"/>
            <w:hideMark/>
          </w:tcPr>
          <w:p w14:paraId="4230212E" w14:textId="77777777" w:rsidR="00A16955" w:rsidRPr="00D43C26" w:rsidRDefault="00A16955" w:rsidP="009D767F">
            <w:pPr>
              <w:rPr>
                <w:sz w:val="20"/>
                <w:szCs w:val="20"/>
              </w:rPr>
            </w:pPr>
            <w:r w:rsidRPr="00D43C26">
              <w:rPr>
                <w:sz w:val="20"/>
                <w:szCs w:val="20"/>
              </w:rPr>
              <w:t xml:space="preserve">Only limited integration of data with other data sources is readily available; significant resources would be needed for a full integration. </w:t>
            </w:r>
          </w:p>
        </w:tc>
        <w:tc>
          <w:tcPr>
            <w:tcW w:w="2180" w:type="dxa"/>
            <w:hideMark/>
          </w:tcPr>
          <w:p w14:paraId="4B75C48A" w14:textId="77777777" w:rsidR="00A16955" w:rsidRPr="00D43C26" w:rsidRDefault="00A16955" w:rsidP="009D767F">
            <w:pPr>
              <w:rPr>
                <w:sz w:val="20"/>
                <w:szCs w:val="20"/>
              </w:rPr>
            </w:pPr>
            <w:r w:rsidRPr="00D43C26">
              <w:rPr>
                <w:sz w:val="20"/>
                <w:szCs w:val="20"/>
              </w:rPr>
              <w:t xml:space="preserve">Data are partly integrated with other data sources, or some resources are needed to bring integration at practical level. </w:t>
            </w:r>
          </w:p>
        </w:tc>
        <w:tc>
          <w:tcPr>
            <w:tcW w:w="2180" w:type="dxa"/>
            <w:hideMark/>
          </w:tcPr>
          <w:p w14:paraId="0001D261" w14:textId="77777777" w:rsidR="00A16955" w:rsidRPr="00D43C26" w:rsidRDefault="00A16955" w:rsidP="009D767F">
            <w:pPr>
              <w:rPr>
                <w:sz w:val="20"/>
                <w:szCs w:val="20"/>
              </w:rPr>
            </w:pPr>
            <w:r w:rsidRPr="00D43C26">
              <w:rPr>
                <w:sz w:val="20"/>
                <w:szCs w:val="20"/>
              </w:rPr>
              <w:t xml:space="preserve">Data are fully integrated with other sources within national statistical system, using a full scale of identifiers. </w:t>
            </w:r>
          </w:p>
        </w:tc>
      </w:tr>
      <w:tr w:rsidR="00A16955" w:rsidRPr="00D43C26" w14:paraId="09BCA3FC" w14:textId="77777777" w:rsidTr="00447059">
        <w:trPr>
          <w:trHeight w:val="2245"/>
        </w:trPr>
        <w:tc>
          <w:tcPr>
            <w:tcW w:w="1360" w:type="dxa"/>
            <w:hideMark/>
          </w:tcPr>
          <w:p w14:paraId="06FCA5B1" w14:textId="77777777" w:rsidR="00A16955" w:rsidRPr="00D43C26" w:rsidRDefault="00A16955" w:rsidP="009D767F">
            <w:pPr>
              <w:rPr>
                <w:b/>
                <w:bCs/>
                <w:sz w:val="20"/>
                <w:szCs w:val="20"/>
              </w:rPr>
            </w:pPr>
            <w:r w:rsidRPr="00D43C26">
              <w:rPr>
                <w:b/>
                <w:bCs/>
                <w:sz w:val="20"/>
                <w:szCs w:val="20"/>
              </w:rPr>
              <w:t>Results</w:t>
            </w:r>
          </w:p>
        </w:tc>
        <w:tc>
          <w:tcPr>
            <w:tcW w:w="440" w:type="dxa"/>
            <w:hideMark/>
          </w:tcPr>
          <w:p w14:paraId="256D29F4" w14:textId="77777777" w:rsidR="00A16955" w:rsidRPr="00D43C26" w:rsidRDefault="00A16955" w:rsidP="009D767F">
            <w:pPr>
              <w:rPr>
                <w:sz w:val="20"/>
                <w:szCs w:val="20"/>
              </w:rPr>
            </w:pPr>
            <w:r w:rsidRPr="00D43C26">
              <w:rPr>
                <w:sz w:val="20"/>
                <w:szCs w:val="20"/>
              </w:rPr>
              <w:t>14</w:t>
            </w:r>
          </w:p>
        </w:tc>
        <w:tc>
          <w:tcPr>
            <w:tcW w:w="2340" w:type="dxa"/>
            <w:hideMark/>
          </w:tcPr>
          <w:p w14:paraId="67EF4763" w14:textId="77777777" w:rsidR="00A16955" w:rsidRPr="00D43C26" w:rsidRDefault="00A16955" w:rsidP="009D767F">
            <w:pPr>
              <w:rPr>
                <w:sz w:val="20"/>
                <w:szCs w:val="20"/>
              </w:rPr>
            </w:pPr>
            <w:r w:rsidRPr="00D43C26">
              <w:rPr>
                <w:sz w:val="20"/>
                <w:szCs w:val="20"/>
              </w:rPr>
              <w:t>Relevance for use</w:t>
            </w:r>
          </w:p>
        </w:tc>
        <w:tc>
          <w:tcPr>
            <w:tcW w:w="5680" w:type="dxa"/>
            <w:hideMark/>
          </w:tcPr>
          <w:p w14:paraId="61928152" w14:textId="77777777" w:rsidR="00A16955" w:rsidRPr="00D43C26" w:rsidRDefault="00A16955" w:rsidP="009D767F">
            <w:pPr>
              <w:rPr>
                <w:sz w:val="20"/>
                <w:szCs w:val="20"/>
              </w:rPr>
            </w:pPr>
            <w:r w:rsidRPr="00D43C26">
              <w:rPr>
                <w:sz w:val="20"/>
                <w:szCs w:val="20"/>
              </w:rPr>
              <w:t>Are the results helpful for assessing IFFs or curbing different types of IFFs? How many uses are there for these results?</w:t>
            </w:r>
          </w:p>
        </w:tc>
        <w:tc>
          <w:tcPr>
            <w:tcW w:w="2180" w:type="dxa"/>
            <w:hideMark/>
          </w:tcPr>
          <w:p w14:paraId="4C781742" w14:textId="77777777" w:rsidR="00A16955" w:rsidRPr="00D43C26" w:rsidRDefault="00A16955" w:rsidP="009D767F">
            <w:pPr>
              <w:rPr>
                <w:sz w:val="20"/>
                <w:szCs w:val="20"/>
              </w:rPr>
            </w:pPr>
            <w:r w:rsidRPr="00D43C26">
              <w:rPr>
                <w:sz w:val="20"/>
                <w:szCs w:val="20"/>
              </w:rPr>
              <w:t>Results have limited relevance for policy formulation, addressing only one IFFs activity, with present overlaps or gaps, applicable only to a small circle of countries.</w:t>
            </w:r>
          </w:p>
        </w:tc>
        <w:tc>
          <w:tcPr>
            <w:tcW w:w="2180" w:type="dxa"/>
            <w:hideMark/>
          </w:tcPr>
          <w:p w14:paraId="36210B1B" w14:textId="77777777" w:rsidR="00A16955" w:rsidRPr="00D43C26" w:rsidRDefault="00A16955" w:rsidP="009D767F">
            <w:pPr>
              <w:rPr>
                <w:sz w:val="20"/>
                <w:szCs w:val="20"/>
              </w:rPr>
            </w:pPr>
            <w:r w:rsidRPr="00D43C26">
              <w:rPr>
                <w:sz w:val="20"/>
                <w:szCs w:val="20"/>
              </w:rPr>
              <w:t xml:space="preserve">Results consider clearly defined IFFs activities, confounding effects may be present; applicability is limited to several (groups of) countries, but not universally. </w:t>
            </w:r>
          </w:p>
        </w:tc>
        <w:tc>
          <w:tcPr>
            <w:tcW w:w="2180" w:type="dxa"/>
            <w:hideMark/>
          </w:tcPr>
          <w:p w14:paraId="2CB3D344" w14:textId="77777777" w:rsidR="00A16955" w:rsidRPr="00D43C26" w:rsidRDefault="00A16955" w:rsidP="009D767F">
            <w:pPr>
              <w:rPr>
                <w:sz w:val="20"/>
                <w:szCs w:val="20"/>
              </w:rPr>
            </w:pPr>
            <w:r w:rsidRPr="00D43C26">
              <w:rPr>
                <w:sz w:val="20"/>
                <w:szCs w:val="20"/>
              </w:rPr>
              <w:t xml:space="preserve">Results are directly applicable for policies, directed at specific and clearly delineated IFFs activities; relevance for countries is almost universal. </w:t>
            </w:r>
          </w:p>
        </w:tc>
      </w:tr>
      <w:tr w:rsidR="00A16955" w:rsidRPr="00D43C26" w14:paraId="22156302" w14:textId="77777777" w:rsidTr="00447059">
        <w:trPr>
          <w:trHeight w:val="2400"/>
        </w:trPr>
        <w:tc>
          <w:tcPr>
            <w:tcW w:w="1360" w:type="dxa"/>
            <w:hideMark/>
          </w:tcPr>
          <w:p w14:paraId="24EBAA94" w14:textId="77777777" w:rsidR="00A16955" w:rsidRPr="00D43C26" w:rsidRDefault="00A16955" w:rsidP="009D767F">
            <w:pPr>
              <w:rPr>
                <w:sz w:val="20"/>
                <w:szCs w:val="20"/>
              </w:rPr>
            </w:pPr>
            <w:r w:rsidRPr="00D43C26">
              <w:rPr>
                <w:sz w:val="20"/>
                <w:szCs w:val="20"/>
              </w:rPr>
              <w:t> </w:t>
            </w:r>
          </w:p>
        </w:tc>
        <w:tc>
          <w:tcPr>
            <w:tcW w:w="440" w:type="dxa"/>
            <w:hideMark/>
          </w:tcPr>
          <w:p w14:paraId="7FFBB3CC" w14:textId="77777777" w:rsidR="00A16955" w:rsidRPr="00D43C26" w:rsidRDefault="00A16955" w:rsidP="009D767F">
            <w:pPr>
              <w:rPr>
                <w:sz w:val="20"/>
                <w:szCs w:val="20"/>
              </w:rPr>
            </w:pPr>
            <w:r w:rsidRPr="00D43C26">
              <w:rPr>
                <w:sz w:val="20"/>
                <w:szCs w:val="20"/>
              </w:rPr>
              <w:t>15</w:t>
            </w:r>
          </w:p>
        </w:tc>
        <w:tc>
          <w:tcPr>
            <w:tcW w:w="2340" w:type="dxa"/>
            <w:hideMark/>
          </w:tcPr>
          <w:p w14:paraId="762D969C" w14:textId="77777777" w:rsidR="00A16955" w:rsidRPr="00D43C26" w:rsidRDefault="00A16955" w:rsidP="009D767F">
            <w:pPr>
              <w:rPr>
                <w:sz w:val="20"/>
                <w:szCs w:val="20"/>
              </w:rPr>
            </w:pPr>
            <w:r w:rsidRPr="00D43C26">
              <w:rPr>
                <w:sz w:val="20"/>
                <w:szCs w:val="20"/>
              </w:rPr>
              <w:t>Accuracy</w:t>
            </w:r>
          </w:p>
        </w:tc>
        <w:tc>
          <w:tcPr>
            <w:tcW w:w="5680" w:type="dxa"/>
            <w:hideMark/>
          </w:tcPr>
          <w:p w14:paraId="4DF7E877" w14:textId="77777777" w:rsidR="00A16955" w:rsidRPr="00D43C26" w:rsidRDefault="00A16955" w:rsidP="009D767F">
            <w:pPr>
              <w:rPr>
                <w:sz w:val="20"/>
                <w:szCs w:val="20"/>
              </w:rPr>
            </w:pPr>
            <w:r w:rsidRPr="00D43C26">
              <w:rPr>
                <w:sz w:val="20"/>
                <w:szCs w:val="20"/>
              </w:rPr>
              <w:t>Do the results describe what is intended? Are there large revisions?</w:t>
            </w:r>
          </w:p>
        </w:tc>
        <w:tc>
          <w:tcPr>
            <w:tcW w:w="2180" w:type="dxa"/>
            <w:hideMark/>
          </w:tcPr>
          <w:p w14:paraId="3A9DF892" w14:textId="77777777" w:rsidR="00A16955" w:rsidRPr="00D43C26" w:rsidRDefault="00A16955" w:rsidP="009D767F">
            <w:pPr>
              <w:rPr>
                <w:sz w:val="20"/>
                <w:szCs w:val="20"/>
              </w:rPr>
            </w:pPr>
            <w:r w:rsidRPr="00D43C26">
              <w:rPr>
                <w:sz w:val="20"/>
                <w:szCs w:val="20"/>
              </w:rPr>
              <w:t xml:space="preserve">Limited comprehensiveness of concepts and methodology, assumptions sensitive to changes. </w:t>
            </w:r>
          </w:p>
        </w:tc>
        <w:tc>
          <w:tcPr>
            <w:tcW w:w="2180" w:type="dxa"/>
            <w:hideMark/>
          </w:tcPr>
          <w:p w14:paraId="5955BCA0" w14:textId="77777777" w:rsidR="00A16955" w:rsidRPr="00D43C26" w:rsidRDefault="00A16955" w:rsidP="009D767F">
            <w:pPr>
              <w:rPr>
                <w:sz w:val="20"/>
                <w:szCs w:val="20"/>
              </w:rPr>
            </w:pPr>
            <w:r w:rsidRPr="00D43C26">
              <w:rPr>
                <w:sz w:val="20"/>
                <w:szCs w:val="20"/>
              </w:rPr>
              <w:t xml:space="preserve">Limitations in comprehensiveness of defined concepts are adjusted by several assumptions. </w:t>
            </w:r>
          </w:p>
        </w:tc>
        <w:tc>
          <w:tcPr>
            <w:tcW w:w="2180" w:type="dxa"/>
            <w:hideMark/>
          </w:tcPr>
          <w:p w14:paraId="493219D2" w14:textId="77777777" w:rsidR="00A16955" w:rsidRPr="00D43C26" w:rsidRDefault="00A16955" w:rsidP="009D767F">
            <w:pPr>
              <w:rPr>
                <w:sz w:val="20"/>
                <w:szCs w:val="20"/>
              </w:rPr>
            </w:pPr>
            <w:r w:rsidRPr="00D43C26">
              <w:rPr>
                <w:sz w:val="20"/>
                <w:szCs w:val="20"/>
              </w:rPr>
              <w:t xml:space="preserve">Clearly defined concepts, advanced statistical techniques used, limited reliance on assumption all produce results accurately representing the measured reality. </w:t>
            </w:r>
          </w:p>
        </w:tc>
      </w:tr>
      <w:tr w:rsidR="00A16955" w:rsidRPr="00D43C26" w14:paraId="0A08194D" w14:textId="77777777" w:rsidTr="00447059">
        <w:trPr>
          <w:trHeight w:val="1750"/>
        </w:trPr>
        <w:tc>
          <w:tcPr>
            <w:tcW w:w="1360" w:type="dxa"/>
            <w:hideMark/>
          </w:tcPr>
          <w:p w14:paraId="298415C6" w14:textId="77777777" w:rsidR="00A16955" w:rsidRPr="00D43C26" w:rsidRDefault="00A16955" w:rsidP="009D767F">
            <w:pPr>
              <w:rPr>
                <w:sz w:val="20"/>
                <w:szCs w:val="20"/>
              </w:rPr>
            </w:pPr>
            <w:r w:rsidRPr="00D43C26">
              <w:rPr>
                <w:sz w:val="20"/>
                <w:szCs w:val="20"/>
              </w:rPr>
              <w:lastRenderedPageBreak/>
              <w:t> </w:t>
            </w:r>
          </w:p>
        </w:tc>
        <w:tc>
          <w:tcPr>
            <w:tcW w:w="440" w:type="dxa"/>
            <w:hideMark/>
          </w:tcPr>
          <w:p w14:paraId="4B4422CC" w14:textId="77777777" w:rsidR="00A16955" w:rsidRPr="00D43C26" w:rsidRDefault="00A16955" w:rsidP="009D767F">
            <w:pPr>
              <w:rPr>
                <w:sz w:val="20"/>
                <w:szCs w:val="20"/>
              </w:rPr>
            </w:pPr>
            <w:r w:rsidRPr="00D43C26">
              <w:rPr>
                <w:sz w:val="20"/>
                <w:szCs w:val="20"/>
              </w:rPr>
              <w:t>16</w:t>
            </w:r>
          </w:p>
        </w:tc>
        <w:tc>
          <w:tcPr>
            <w:tcW w:w="2340" w:type="dxa"/>
            <w:hideMark/>
          </w:tcPr>
          <w:p w14:paraId="0FF7CC19" w14:textId="77777777" w:rsidR="00A16955" w:rsidRPr="00D43C26" w:rsidRDefault="00A16955" w:rsidP="009D767F">
            <w:pPr>
              <w:rPr>
                <w:sz w:val="20"/>
                <w:szCs w:val="20"/>
              </w:rPr>
            </w:pPr>
            <w:r w:rsidRPr="00D43C26">
              <w:rPr>
                <w:sz w:val="20"/>
                <w:szCs w:val="20"/>
              </w:rPr>
              <w:t>Timeliness</w:t>
            </w:r>
          </w:p>
        </w:tc>
        <w:tc>
          <w:tcPr>
            <w:tcW w:w="5680" w:type="dxa"/>
            <w:hideMark/>
          </w:tcPr>
          <w:p w14:paraId="305D8259" w14:textId="77777777" w:rsidR="00A16955" w:rsidRPr="00D43C26" w:rsidRDefault="00A16955" w:rsidP="009D767F">
            <w:pPr>
              <w:rPr>
                <w:sz w:val="20"/>
                <w:szCs w:val="20"/>
              </w:rPr>
            </w:pPr>
            <w:r w:rsidRPr="00D43C26">
              <w:rPr>
                <w:sz w:val="20"/>
                <w:szCs w:val="20"/>
              </w:rPr>
              <w:t>How quickly will the results be available? Are they available on time to help solve problems?</w:t>
            </w:r>
          </w:p>
        </w:tc>
        <w:tc>
          <w:tcPr>
            <w:tcW w:w="2180" w:type="dxa"/>
            <w:hideMark/>
          </w:tcPr>
          <w:p w14:paraId="0E5E4AB4" w14:textId="77777777" w:rsidR="00A16955" w:rsidRPr="00D43C26" w:rsidRDefault="00A16955" w:rsidP="009D767F">
            <w:pPr>
              <w:rPr>
                <w:sz w:val="20"/>
                <w:szCs w:val="20"/>
              </w:rPr>
            </w:pPr>
            <w:r w:rsidRPr="00D43C26">
              <w:rPr>
                <w:sz w:val="20"/>
                <w:szCs w:val="20"/>
              </w:rPr>
              <w:t xml:space="preserve">Adjustments to data and/or methodology are significant enough to impair simple replication in majority of countries. </w:t>
            </w:r>
          </w:p>
        </w:tc>
        <w:tc>
          <w:tcPr>
            <w:tcW w:w="2180" w:type="dxa"/>
            <w:hideMark/>
          </w:tcPr>
          <w:p w14:paraId="5264A1F9" w14:textId="77777777" w:rsidR="00A16955" w:rsidRPr="00D43C26" w:rsidRDefault="00A16955" w:rsidP="009D767F">
            <w:pPr>
              <w:rPr>
                <w:sz w:val="20"/>
                <w:szCs w:val="20"/>
              </w:rPr>
            </w:pPr>
            <w:r w:rsidRPr="00D43C26">
              <w:rPr>
                <w:sz w:val="20"/>
                <w:szCs w:val="20"/>
              </w:rPr>
              <w:t>Some data are harder to obtain, or some methodological adjustments are needed for each replication of the calculations.</w:t>
            </w:r>
          </w:p>
        </w:tc>
        <w:tc>
          <w:tcPr>
            <w:tcW w:w="2180" w:type="dxa"/>
            <w:hideMark/>
          </w:tcPr>
          <w:p w14:paraId="79A6AB57" w14:textId="77777777" w:rsidR="00A16955" w:rsidRPr="00D43C26" w:rsidRDefault="00A16955" w:rsidP="009D767F">
            <w:pPr>
              <w:rPr>
                <w:sz w:val="20"/>
                <w:szCs w:val="20"/>
              </w:rPr>
            </w:pPr>
            <w:r w:rsidRPr="00D43C26">
              <w:rPr>
                <w:sz w:val="20"/>
                <w:szCs w:val="20"/>
              </w:rPr>
              <w:t xml:space="preserve">Given the data, replication of the method is quick and straightforward in all, or most countries. </w:t>
            </w:r>
          </w:p>
        </w:tc>
      </w:tr>
      <w:tr w:rsidR="00A16955" w:rsidRPr="00D43C26" w14:paraId="3E40CC58" w14:textId="77777777" w:rsidTr="00447059">
        <w:trPr>
          <w:trHeight w:val="2065"/>
        </w:trPr>
        <w:tc>
          <w:tcPr>
            <w:tcW w:w="1360" w:type="dxa"/>
            <w:hideMark/>
          </w:tcPr>
          <w:p w14:paraId="73BF59A4" w14:textId="77777777" w:rsidR="00A16955" w:rsidRPr="00D43C26" w:rsidRDefault="00A16955" w:rsidP="009D767F">
            <w:pPr>
              <w:rPr>
                <w:sz w:val="20"/>
                <w:szCs w:val="20"/>
              </w:rPr>
            </w:pPr>
            <w:r w:rsidRPr="00D43C26">
              <w:rPr>
                <w:sz w:val="20"/>
                <w:szCs w:val="20"/>
              </w:rPr>
              <w:t> </w:t>
            </w:r>
          </w:p>
        </w:tc>
        <w:tc>
          <w:tcPr>
            <w:tcW w:w="440" w:type="dxa"/>
            <w:hideMark/>
          </w:tcPr>
          <w:p w14:paraId="0EDECB0A" w14:textId="77777777" w:rsidR="00A16955" w:rsidRPr="00D43C26" w:rsidRDefault="00A16955" w:rsidP="009D767F">
            <w:pPr>
              <w:rPr>
                <w:sz w:val="20"/>
                <w:szCs w:val="20"/>
              </w:rPr>
            </w:pPr>
            <w:r w:rsidRPr="00D43C26">
              <w:rPr>
                <w:sz w:val="20"/>
                <w:szCs w:val="20"/>
              </w:rPr>
              <w:t>17</w:t>
            </w:r>
          </w:p>
        </w:tc>
        <w:tc>
          <w:tcPr>
            <w:tcW w:w="2340" w:type="dxa"/>
            <w:hideMark/>
          </w:tcPr>
          <w:p w14:paraId="141FE5D3" w14:textId="77777777" w:rsidR="00A16955" w:rsidRPr="00D43C26" w:rsidRDefault="00A16955" w:rsidP="009D767F">
            <w:pPr>
              <w:rPr>
                <w:sz w:val="20"/>
                <w:szCs w:val="20"/>
              </w:rPr>
            </w:pPr>
            <w:r w:rsidRPr="00D43C26">
              <w:rPr>
                <w:sz w:val="20"/>
                <w:szCs w:val="20"/>
              </w:rPr>
              <w:t>Clarity</w:t>
            </w:r>
          </w:p>
        </w:tc>
        <w:tc>
          <w:tcPr>
            <w:tcW w:w="5680" w:type="dxa"/>
            <w:hideMark/>
          </w:tcPr>
          <w:p w14:paraId="26C0830E" w14:textId="77777777" w:rsidR="00A16955" w:rsidRPr="00D43C26" w:rsidRDefault="00A16955" w:rsidP="009D767F">
            <w:pPr>
              <w:rPr>
                <w:sz w:val="20"/>
                <w:szCs w:val="20"/>
              </w:rPr>
            </w:pPr>
            <w:r w:rsidRPr="00D43C26">
              <w:rPr>
                <w:sz w:val="20"/>
                <w:szCs w:val="20"/>
              </w:rPr>
              <w:t>How easy are the results to use and interpret?</w:t>
            </w:r>
          </w:p>
        </w:tc>
        <w:tc>
          <w:tcPr>
            <w:tcW w:w="2180" w:type="dxa"/>
            <w:hideMark/>
          </w:tcPr>
          <w:p w14:paraId="42707ACA" w14:textId="77777777" w:rsidR="00A16955" w:rsidRPr="00D43C26" w:rsidRDefault="00A16955" w:rsidP="009D767F">
            <w:pPr>
              <w:rPr>
                <w:sz w:val="20"/>
                <w:szCs w:val="20"/>
              </w:rPr>
            </w:pPr>
            <w:r w:rsidRPr="00D43C26">
              <w:rPr>
                <w:sz w:val="20"/>
                <w:szCs w:val="20"/>
              </w:rPr>
              <w:t xml:space="preserve">Significant additional effort is required by statistics compilers in most countries for users to properly use the results. </w:t>
            </w:r>
          </w:p>
        </w:tc>
        <w:tc>
          <w:tcPr>
            <w:tcW w:w="2180" w:type="dxa"/>
            <w:hideMark/>
          </w:tcPr>
          <w:p w14:paraId="702374E4" w14:textId="77777777" w:rsidR="00A16955" w:rsidRPr="00D43C26" w:rsidRDefault="00A16955" w:rsidP="009D767F">
            <w:pPr>
              <w:rPr>
                <w:sz w:val="20"/>
                <w:szCs w:val="20"/>
              </w:rPr>
            </w:pPr>
            <w:r w:rsidRPr="00D43C26">
              <w:rPr>
                <w:sz w:val="20"/>
                <w:szCs w:val="20"/>
              </w:rPr>
              <w:t xml:space="preserve">Results are mostly simple to interpret and connect to practical concerns of IFFs, but mostly only in certain groups of countries (e.g., developed). </w:t>
            </w:r>
          </w:p>
        </w:tc>
        <w:tc>
          <w:tcPr>
            <w:tcW w:w="2180" w:type="dxa"/>
            <w:hideMark/>
          </w:tcPr>
          <w:p w14:paraId="1B48430B" w14:textId="77777777" w:rsidR="00A16955" w:rsidRPr="00D43C26" w:rsidRDefault="00A16955" w:rsidP="009D767F">
            <w:pPr>
              <w:rPr>
                <w:sz w:val="20"/>
                <w:szCs w:val="20"/>
              </w:rPr>
            </w:pPr>
            <w:r w:rsidRPr="00D43C26">
              <w:rPr>
                <w:sz w:val="20"/>
                <w:szCs w:val="20"/>
              </w:rPr>
              <w:t xml:space="preserve">Results are straightforward to interpret with respect to IFFs typologies (activities, breakdown) for most part and in most countries. </w:t>
            </w:r>
          </w:p>
        </w:tc>
      </w:tr>
      <w:tr w:rsidR="00A16955" w:rsidRPr="00D43C26" w14:paraId="501FC1BF" w14:textId="77777777" w:rsidTr="00447059">
        <w:trPr>
          <w:trHeight w:val="2470"/>
        </w:trPr>
        <w:tc>
          <w:tcPr>
            <w:tcW w:w="1360" w:type="dxa"/>
            <w:hideMark/>
          </w:tcPr>
          <w:p w14:paraId="56EC3385" w14:textId="77777777" w:rsidR="00A16955" w:rsidRPr="00D43C26" w:rsidRDefault="00A16955" w:rsidP="009D767F">
            <w:pPr>
              <w:rPr>
                <w:sz w:val="20"/>
                <w:szCs w:val="20"/>
              </w:rPr>
            </w:pPr>
            <w:r w:rsidRPr="00D43C26">
              <w:rPr>
                <w:sz w:val="20"/>
                <w:szCs w:val="20"/>
              </w:rPr>
              <w:t> </w:t>
            </w:r>
          </w:p>
        </w:tc>
        <w:tc>
          <w:tcPr>
            <w:tcW w:w="440" w:type="dxa"/>
            <w:hideMark/>
          </w:tcPr>
          <w:p w14:paraId="3E815034" w14:textId="77777777" w:rsidR="00A16955" w:rsidRPr="00D43C26" w:rsidRDefault="00A16955" w:rsidP="009D767F">
            <w:pPr>
              <w:rPr>
                <w:sz w:val="20"/>
                <w:szCs w:val="20"/>
              </w:rPr>
            </w:pPr>
            <w:r w:rsidRPr="00D43C26">
              <w:rPr>
                <w:sz w:val="20"/>
                <w:szCs w:val="20"/>
              </w:rPr>
              <w:t>18</w:t>
            </w:r>
          </w:p>
        </w:tc>
        <w:tc>
          <w:tcPr>
            <w:tcW w:w="2340" w:type="dxa"/>
            <w:hideMark/>
          </w:tcPr>
          <w:p w14:paraId="01EEC166" w14:textId="77777777" w:rsidR="00A16955" w:rsidRPr="00D43C26" w:rsidRDefault="00A16955" w:rsidP="009D767F">
            <w:pPr>
              <w:rPr>
                <w:sz w:val="20"/>
                <w:szCs w:val="20"/>
              </w:rPr>
            </w:pPr>
            <w:r w:rsidRPr="00D43C26">
              <w:rPr>
                <w:sz w:val="20"/>
                <w:szCs w:val="20"/>
              </w:rPr>
              <w:t>Comparability</w:t>
            </w:r>
          </w:p>
        </w:tc>
        <w:tc>
          <w:tcPr>
            <w:tcW w:w="5680" w:type="dxa"/>
            <w:hideMark/>
          </w:tcPr>
          <w:p w14:paraId="3F7E05C0" w14:textId="77777777" w:rsidR="00A16955" w:rsidRPr="00D43C26" w:rsidRDefault="00A16955" w:rsidP="009D767F">
            <w:pPr>
              <w:rPr>
                <w:sz w:val="20"/>
                <w:szCs w:val="20"/>
              </w:rPr>
            </w:pPr>
            <w:r w:rsidRPr="00D43C26">
              <w:rPr>
                <w:sz w:val="20"/>
                <w:szCs w:val="20"/>
              </w:rPr>
              <w:t>How comparable are the results in different conditions, across time and countries?</w:t>
            </w:r>
          </w:p>
        </w:tc>
        <w:tc>
          <w:tcPr>
            <w:tcW w:w="2180" w:type="dxa"/>
            <w:hideMark/>
          </w:tcPr>
          <w:p w14:paraId="60AF6A39" w14:textId="77777777" w:rsidR="00A16955" w:rsidRPr="00D43C26" w:rsidRDefault="00A16955" w:rsidP="009D767F">
            <w:pPr>
              <w:rPr>
                <w:sz w:val="20"/>
                <w:szCs w:val="20"/>
              </w:rPr>
            </w:pPr>
            <w:r w:rsidRPr="00D43C26">
              <w:rPr>
                <w:sz w:val="20"/>
                <w:szCs w:val="20"/>
              </w:rPr>
              <w:t>Significant limitations in comparability of results between various countries exist.</w:t>
            </w:r>
          </w:p>
        </w:tc>
        <w:tc>
          <w:tcPr>
            <w:tcW w:w="2180" w:type="dxa"/>
            <w:hideMark/>
          </w:tcPr>
          <w:p w14:paraId="448AE486" w14:textId="77777777" w:rsidR="00A16955" w:rsidRPr="00D43C26" w:rsidRDefault="00A16955" w:rsidP="009D767F">
            <w:pPr>
              <w:rPr>
                <w:sz w:val="20"/>
                <w:szCs w:val="20"/>
              </w:rPr>
            </w:pPr>
            <w:r w:rsidRPr="00D43C26">
              <w:rPr>
                <w:sz w:val="20"/>
                <w:szCs w:val="20"/>
              </w:rPr>
              <w:t xml:space="preserve">Limitations in methodology and/or data requires caution in direct comparison of results across time and countries of different groups (e.g., developed vs developing). </w:t>
            </w:r>
          </w:p>
        </w:tc>
        <w:tc>
          <w:tcPr>
            <w:tcW w:w="2180" w:type="dxa"/>
            <w:hideMark/>
          </w:tcPr>
          <w:p w14:paraId="1F6DBE06" w14:textId="77777777" w:rsidR="00A16955" w:rsidRPr="00D43C26" w:rsidRDefault="00A16955" w:rsidP="009D767F">
            <w:pPr>
              <w:rPr>
                <w:sz w:val="20"/>
                <w:szCs w:val="20"/>
              </w:rPr>
            </w:pPr>
            <w:r w:rsidRPr="00D43C26">
              <w:rPr>
                <w:sz w:val="20"/>
                <w:szCs w:val="20"/>
              </w:rPr>
              <w:t xml:space="preserve">Data and methodology are comprehensive enough to allow for straightforward comparability of results across time and countries and variations in conditions. </w:t>
            </w:r>
          </w:p>
        </w:tc>
      </w:tr>
      <w:tr w:rsidR="00A16955" w:rsidRPr="00D43C26" w14:paraId="311582AA" w14:textId="77777777" w:rsidTr="00447059">
        <w:trPr>
          <w:trHeight w:val="1795"/>
        </w:trPr>
        <w:tc>
          <w:tcPr>
            <w:tcW w:w="1360" w:type="dxa"/>
            <w:hideMark/>
          </w:tcPr>
          <w:p w14:paraId="6D58A6DB" w14:textId="77777777" w:rsidR="00A16955" w:rsidRPr="00D43C26" w:rsidRDefault="00A16955" w:rsidP="009D767F">
            <w:pPr>
              <w:rPr>
                <w:sz w:val="20"/>
                <w:szCs w:val="20"/>
              </w:rPr>
            </w:pPr>
            <w:r w:rsidRPr="00D43C26">
              <w:rPr>
                <w:sz w:val="20"/>
                <w:szCs w:val="20"/>
              </w:rPr>
              <w:lastRenderedPageBreak/>
              <w:t> </w:t>
            </w:r>
          </w:p>
        </w:tc>
        <w:tc>
          <w:tcPr>
            <w:tcW w:w="440" w:type="dxa"/>
            <w:hideMark/>
          </w:tcPr>
          <w:p w14:paraId="7D062407" w14:textId="77777777" w:rsidR="00A16955" w:rsidRPr="00D43C26" w:rsidRDefault="00A16955" w:rsidP="009D767F">
            <w:pPr>
              <w:rPr>
                <w:sz w:val="20"/>
                <w:szCs w:val="20"/>
              </w:rPr>
            </w:pPr>
            <w:r w:rsidRPr="00D43C26">
              <w:rPr>
                <w:sz w:val="20"/>
                <w:szCs w:val="20"/>
              </w:rPr>
              <w:t>19</w:t>
            </w:r>
          </w:p>
        </w:tc>
        <w:tc>
          <w:tcPr>
            <w:tcW w:w="2340" w:type="dxa"/>
            <w:hideMark/>
          </w:tcPr>
          <w:p w14:paraId="6FA12623" w14:textId="77777777" w:rsidR="00A16955" w:rsidRPr="00D43C26" w:rsidRDefault="00A16955" w:rsidP="009D767F">
            <w:pPr>
              <w:rPr>
                <w:sz w:val="20"/>
                <w:szCs w:val="20"/>
              </w:rPr>
            </w:pPr>
            <w:r w:rsidRPr="00D43C26">
              <w:rPr>
                <w:sz w:val="20"/>
                <w:szCs w:val="20"/>
              </w:rPr>
              <w:t>Coherence</w:t>
            </w:r>
          </w:p>
        </w:tc>
        <w:tc>
          <w:tcPr>
            <w:tcW w:w="5680" w:type="dxa"/>
            <w:hideMark/>
          </w:tcPr>
          <w:p w14:paraId="144107D3" w14:textId="77777777" w:rsidR="00A16955" w:rsidRPr="00D43C26" w:rsidRDefault="00A16955" w:rsidP="009D767F">
            <w:pPr>
              <w:rPr>
                <w:sz w:val="20"/>
                <w:szCs w:val="20"/>
              </w:rPr>
            </w:pPr>
            <w:r w:rsidRPr="00D43C26">
              <w:rPr>
                <w:sz w:val="20"/>
                <w:szCs w:val="20"/>
              </w:rPr>
              <w:t>How coherent are the results internally? Can they be used together with other IFF estimates?</w:t>
            </w:r>
          </w:p>
        </w:tc>
        <w:tc>
          <w:tcPr>
            <w:tcW w:w="2180" w:type="dxa"/>
            <w:hideMark/>
          </w:tcPr>
          <w:p w14:paraId="1DD5EDEA" w14:textId="77777777" w:rsidR="00A16955" w:rsidRPr="00D43C26" w:rsidRDefault="00A16955" w:rsidP="009D767F">
            <w:pPr>
              <w:rPr>
                <w:sz w:val="20"/>
                <w:szCs w:val="20"/>
              </w:rPr>
            </w:pPr>
            <w:r w:rsidRPr="00D43C26">
              <w:rPr>
                <w:sz w:val="20"/>
                <w:szCs w:val="20"/>
              </w:rPr>
              <w:t xml:space="preserve">Using IFF estimates in combination with other estimates (categories or activities) is limited to only a narrow set of countries. </w:t>
            </w:r>
          </w:p>
        </w:tc>
        <w:tc>
          <w:tcPr>
            <w:tcW w:w="2180" w:type="dxa"/>
            <w:hideMark/>
          </w:tcPr>
          <w:p w14:paraId="3314EFB1" w14:textId="77777777" w:rsidR="00A16955" w:rsidRPr="00D43C26" w:rsidRDefault="00A16955" w:rsidP="009D767F">
            <w:pPr>
              <w:rPr>
                <w:sz w:val="20"/>
                <w:szCs w:val="20"/>
              </w:rPr>
            </w:pPr>
            <w:r w:rsidRPr="00D43C26">
              <w:rPr>
                <w:sz w:val="20"/>
                <w:szCs w:val="20"/>
              </w:rPr>
              <w:t xml:space="preserve">Broad distinction and consistency between activities and categories of IFFs allows for safe comparison of results in most countries. </w:t>
            </w:r>
          </w:p>
        </w:tc>
        <w:tc>
          <w:tcPr>
            <w:tcW w:w="2180" w:type="dxa"/>
            <w:hideMark/>
          </w:tcPr>
          <w:p w14:paraId="453C304B" w14:textId="77777777" w:rsidR="00A16955" w:rsidRPr="00D43C26" w:rsidRDefault="00A16955" w:rsidP="009D767F">
            <w:pPr>
              <w:rPr>
                <w:sz w:val="20"/>
                <w:szCs w:val="20"/>
              </w:rPr>
            </w:pPr>
            <w:r w:rsidRPr="00D43C26">
              <w:rPr>
                <w:sz w:val="20"/>
                <w:szCs w:val="20"/>
              </w:rPr>
              <w:t xml:space="preserve">Results refer to clearly delineated IFFs activities and are directly used with other IFFs categories in most countries. </w:t>
            </w:r>
          </w:p>
        </w:tc>
      </w:tr>
    </w:tbl>
    <w:p w14:paraId="2142904C" w14:textId="77777777" w:rsidR="00A16955" w:rsidRPr="00D43C26" w:rsidRDefault="00A16955" w:rsidP="00A16955"/>
    <w:p w14:paraId="11A6739A" w14:textId="77777777" w:rsidR="00A16955" w:rsidRPr="00D43C26" w:rsidRDefault="00A16955" w:rsidP="00A16955"/>
    <w:p w14:paraId="39AD9311" w14:textId="77777777" w:rsidR="00A16955" w:rsidRPr="00D43C26" w:rsidRDefault="00A16955" w:rsidP="00A16955"/>
    <w:p w14:paraId="52EFCEE3" w14:textId="77777777" w:rsidR="00A16955" w:rsidRPr="00D43C26" w:rsidRDefault="00A16955" w:rsidP="00A16955">
      <w:pPr>
        <w:pStyle w:val="Heading2"/>
        <w:sectPr w:rsidR="00A16955" w:rsidRPr="00D43C26" w:rsidSect="009D767F">
          <w:footerReference w:type="default" r:id="rId11"/>
          <w:footerReference w:type="first" r:id="rId12"/>
          <w:pgSz w:w="16838" w:h="11906" w:orient="landscape"/>
          <w:pgMar w:top="1417" w:right="1417" w:bottom="1417" w:left="1417" w:header="708" w:footer="708" w:gutter="0"/>
          <w:cols w:space="708"/>
          <w:titlePg/>
          <w:docGrid w:linePitch="360"/>
        </w:sectPr>
      </w:pPr>
      <w:bookmarkStart w:id="1" w:name="_Toc60271605"/>
    </w:p>
    <w:p w14:paraId="54E0C0E4" w14:textId="77777777" w:rsidR="00A16955" w:rsidRPr="00D43C26" w:rsidRDefault="00A16955" w:rsidP="00A16955">
      <w:pPr>
        <w:jc w:val="both"/>
        <w:rPr>
          <w:b/>
          <w:bCs/>
        </w:rPr>
      </w:pPr>
      <w:r w:rsidRPr="00D43C26">
        <w:rPr>
          <w:b/>
          <w:bCs/>
        </w:rPr>
        <w:lastRenderedPageBreak/>
        <w:t>Scores of the evaluation for the suggested methods</w:t>
      </w:r>
    </w:p>
    <w:p w14:paraId="4D54D048" w14:textId="77777777" w:rsidR="00A16955" w:rsidRPr="00D43C26" w:rsidRDefault="00A16955" w:rsidP="00A16955">
      <w:pPr>
        <w:jc w:val="both"/>
      </w:pPr>
      <w:r w:rsidRPr="00D43C26">
        <w:t>* The assessment for source data and results is indicative only as it will depend on national data. Similarly, the assessment of soundness of methods may vary depending on the context of implementation.</w:t>
      </w:r>
    </w:p>
    <w:p w14:paraId="28347725" w14:textId="221E018F" w:rsidR="00FE5275" w:rsidRPr="00D43C26" w:rsidRDefault="00583CD5" w:rsidP="00A16955">
      <w:r w:rsidRPr="00583CD5">
        <w:rPr>
          <w:noProof/>
        </w:rPr>
        <w:drawing>
          <wp:inline distT="0" distB="0" distL="0" distR="0" wp14:anchorId="00488838" wp14:editId="5A0505F7">
            <wp:extent cx="5760720" cy="5017135"/>
            <wp:effectExtent l="0" t="0" r="0" b="0"/>
            <wp:docPr id="660109845" name="Picture 66010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017135"/>
                    </a:xfrm>
                    <a:prstGeom prst="rect">
                      <a:avLst/>
                    </a:prstGeom>
                    <a:noFill/>
                    <a:ln>
                      <a:noFill/>
                    </a:ln>
                  </pic:spPr>
                </pic:pic>
              </a:graphicData>
            </a:graphic>
          </wp:inline>
        </w:drawing>
      </w:r>
      <w:r w:rsidRPr="00583CD5">
        <w:t xml:space="preserve"> </w:t>
      </w:r>
    </w:p>
    <w:p w14:paraId="79CC532F" w14:textId="77777777" w:rsidR="00A16955" w:rsidRPr="00D43C26" w:rsidRDefault="00A16955" w:rsidP="00A16955"/>
    <w:p w14:paraId="205F5E7D" w14:textId="1EFBD550" w:rsidR="00FE5275" w:rsidRPr="00D43C26" w:rsidRDefault="00FE5275" w:rsidP="00A16955"/>
    <w:p w14:paraId="2EA03A5F" w14:textId="28F8901E" w:rsidR="00A16955" w:rsidRPr="00D43C26" w:rsidRDefault="00583CD5" w:rsidP="00A16955">
      <w:pPr>
        <w:rPr>
          <w:rFonts w:asciiTheme="majorHAnsi" w:eastAsiaTheme="majorEastAsia" w:hAnsiTheme="majorHAnsi" w:cstheme="majorBidi"/>
          <w:color w:val="2F5496" w:themeColor="accent1" w:themeShade="BF"/>
          <w:sz w:val="26"/>
          <w:szCs w:val="26"/>
        </w:rPr>
      </w:pPr>
      <w:r>
        <w:rPr>
          <w:noProof/>
        </w:rPr>
        <w:lastRenderedPageBreak/>
        <w:drawing>
          <wp:inline distT="0" distB="0" distL="0" distR="0" wp14:anchorId="6F9F9EEB" wp14:editId="5E079301">
            <wp:extent cx="5621020" cy="3249295"/>
            <wp:effectExtent l="0" t="0" r="0" b="8255"/>
            <wp:docPr id="660109847" name="Picture 66010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020" cy="3249295"/>
                    </a:xfrm>
                    <a:prstGeom prst="rect">
                      <a:avLst/>
                    </a:prstGeom>
                    <a:noFill/>
                  </pic:spPr>
                </pic:pic>
              </a:graphicData>
            </a:graphic>
          </wp:inline>
        </w:drawing>
      </w:r>
      <w:bookmarkEnd w:id="1"/>
    </w:p>
    <w:sectPr w:rsidR="00A16955" w:rsidRPr="00D43C26" w:rsidSect="000222E9">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4456" w14:textId="77777777" w:rsidR="00537BB9" w:rsidRDefault="00537BB9" w:rsidP="002870C0">
      <w:pPr>
        <w:spacing w:after="0" w:line="240" w:lineRule="auto"/>
      </w:pPr>
      <w:r>
        <w:separator/>
      </w:r>
    </w:p>
  </w:endnote>
  <w:endnote w:type="continuationSeparator" w:id="0">
    <w:p w14:paraId="2C8E5A4A" w14:textId="77777777" w:rsidR="00537BB9" w:rsidRDefault="00537BB9" w:rsidP="002870C0">
      <w:pPr>
        <w:spacing w:after="0" w:line="240" w:lineRule="auto"/>
      </w:pPr>
      <w:r>
        <w:continuationSeparator/>
      </w:r>
    </w:p>
  </w:endnote>
  <w:endnote w:type="continuationNotice" w:id="1">
    <w:p w14:paraId="3661968A" w14:textId="77777777" w:rsidR="00537BB9" w:rsidRDefault="00537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129524"/>
      <w:docPartObj>
        <w:docPartGallery w:val="Page Numbers (Bottom of Page)"/>
        <w:docPartUnique/>
      </w:docPartObj>
    </w:sdtPr>
    <w:sdtEndPr>
      <w:rPr>
        <w:i/>
        <w:iCs/>
        <w:noProof/>
      </w:rPr>
    </w:sdtEndPr>
    <w:sdtContent>
      <w:p w14:paraId="0B9DDF69" w14:textId="77777777" w:rsidR="00A71C02" w:rsidRPr="00AE1903" w:rsidRDefault="00A71C02">
        <w:pPr>
          <w:pStyle w:val="Footer"/>
          <w:jc w:val="center"/>
          <w:rPr>
            <w:i/>
            <w:iCs/>
          </w:rPr>
        </w:pPr>
        <w:r w:rsidRPr="00AE1903">
          <w:rPr>
            <w:i/>
            <w:iCs/>
          </w:rPr>
          <w:fldChar w:fldCharType="begin"/>
        </w:r>
        <w:r w:rsidRPr="00AE1903">
          <w:rPr>
            <w:i/>
            <w:iCs/>
          </w:rPr>
          <w:instrText xml:space="preserve"> PAGE   \* MERGEFORMAT </w:instrText>
        </w:r>
        <w:r w:rsidRPr="00AE1903">
          <w:rPr>
            <w:i/>
            <w:iCs/>
          </w:rPr>
          <w:fldChar w:fldCharType="separate"/>
        </w:r>
        <w:r w:rsidRPr="00AE1903">
          <w:rPr>
            <w:i/>
            <w:iCs/>
            <w:noProof/>
          </w:rPr>
          <w:t>2</w:t>
        </w:r>
        <w:r w:rsidRPr="00AE1903">
          <w:rPr>
            <w:i/>
            <w:iCs/>
            <w:noProof/>
          </w:rPr>
          <w:fldChar w:fldCharType="end"/>
        </w:r>
      </w:p>
    </w:sdtContent>
  </w:sdt>
  <w:p w14:paraId="429077A4" w14:textId="77777777" w:rsidR="00A71C02" w:rsidRDefault="00A71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65338946"/>
      <w:docPartObj>
        <w:docPartGallery w:val="Page Numbers (Bottom of Page)"/>
        <w:docPartUnique/>
      </w:docPartObj>
    </w:sdtPr>
    <w:sdtEndPr>
      <w:rPr>
        <w:noProof/>
      </w:rPr>
    </w:sdtEndPr>
    <w:sdtContent>
      <w:p w14:paraId="3BA5E193" w14:textId="77777777" w:rsidR="00A71C02" w:rsidRPr="000222E9" w:rsidRDefault="00A71C02">
        <w:pPr>
          <w:pStyle w:val="Footer"/>
          <w:jc w:val="center"/>
          <w:rPr>
            <w:i/>
            <w:iCs/>
          </w:rPr>
        </w:pPr>
        <w:r w:rsidRPr="000222E9">
          <w:rPr>
            <w:i/>
            <w:iCs/>
          </w:rPr>
          <w:fldChar w:fldCharType="begin"/>
        </w:r>
        <w:r w:rsidRPr="000222E9">
          <w:rPr>
            <w:i/>
            <w:iCs/>
          </w:rPr>
          <w:instrText xml:space="preserve"> PAGE   \* MERGEFORMAT </w:instrText>
        </w:r>
        <w:r w:rsidRPr="000222E9">
          <w:rPr>
            <w:i/>
            <w:iCs/>
          </w:rPr>
          <w:fldChar w:fldCharType="separate"/>
        </w:r>
        <w:r>
          <w:rPr>
            <w:i/>
            <w:iCs/>
            <w:noProof/>
          </w:rPr>
          <w:t>82</w:t>
        </w:r>
        <w:r w:rsidRPr="000222E9">
          <w:rPr>
            <w:i/>
            <w:iCs/>
            <w:noProof/>
          </w:rPr>
          <w:fldChar w:fldCharType="end"/>
        </w:r>
      </w:p>
    </w:sdtContent>
  </w:sdt>
  <w:p w14:paraId="65CB9C71" w14:textId="77777777" w:rsidR="00A71C02" w:rsidRPr="000222E9" w:rsidRDefault="00A71C02">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052108921"/>
      <w:docPartObj>
        <w:docPartGallery w:val="Page Numbers (Bottom of Page)"/>
        <w:docPartUnique/>
      </w:docPartObj>
    </w:sdtPr>
    <w:sdtEndPr>
      <w:rPr>
        <w:noProof/>
      </w:rPr>
    </w:sdtEndPr>
    <w:sdtContent>
      <w:p w14:paraId="361EE532" w14:textId="611A2855" w:rsidR="00A71C02" w:rsidRPr="000222E9" w:rsidRDefault="00A71C02">
        <w:pPr>
          <w:pStyle w:val="Footer"/>
          <w:jc w:val="center"/>
          <w:rPr>
            <w:i/>
            <w:iCs/>
          </w:rPr>
        </w:pPr>
        <w:r w:rsidRPr="000222E9">
          <w:rPr>
            <w:i/>
            <w:iCs/>
          </w:rPr>
          <w:fldChar w:fldCharType="begin"/>
        </w:r>
        <w:r w:rsidRPr="000222E9">
          <w:rPr>
            <w:i/>
            <w:iCs/>
          </w:rPr>
          <w:instrText xml:space="preserve"> PAGE   \* MERGEFORMAT </w:instrText>
        </w:r>
        <w:r w:rsidRPr="000222E9">
          <w:rPr>
            <w:i/>
            <w:iCs/>
          </w:rPr>
          <w:fldChar w:fldCharType="separate"/>
        </w:r>
        <w:r>
          <w:rPr>
            <w:i/>
            <w:iCs/>
            <w:noProof/>
          </w:rPr>
          <w:t>94</w:t>
        </w:r>
        <w:r w:rsidRPr="000222E9">
          <w:rPr>
            <w:i/>
            <w:iCs/>
            <w:noProof/>
          </w:rPr>
          <w:fldChar w:fldCharType="end"/>
        </w:r>
      </w:p>
    </w:sdtContent>
  </w:sdt>
  <w:p w14:paraId="5A4B89E7" w14:textId="77777777" w:rsidR="00A71C02" w:rsidRPr="000222E9" w:rsidRDefault="00A71C02">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4295" w14:textId="77777777" w:rsidR="00537BB9" w:rsidRDefault="00537BB9" w:rsidP="002870C0">
      <w:pPr>
        <w:spacing w:after="0" w:line="240" w:lineRule="auto"/>
      </w:pPr>
      <w:r>
        <w:separator/>
      </w:r>
    </w:p>
  </w:footnote>
  <w:footnote w:type="continuationSeparator" w:id="0">
    <w:p w14:paraId="42193014" w14:textId="77777777" w:rsidR="00537BB9" w:rsidRDefault="00537BB9" w:rsidP="002870C0">
      <w:pPr>
        <w:spacing w:after="0" w:line="240" w:lineRule="auto"/>
      </w:pPr>
      <w:r>
        <w:continuationSeparator/>
      </w:r>
    </w:p>
  </w:footnote>
  <w:footnote w:type="continuationNotice" w:id="1">
    <w:p w14:paraId="16A734D9" w14:textId="77777777" w:rsidR="00537BB9" w:rsidRDefault="00537B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301"/>
    <w:multiLevelType w:val="hybridMultilevel"/>
    <w:tmpl w:val="A32C4B08"/>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5A6"/>
    <w:multiLevelType w:val="hybridMultilevel"/>
    <w:tmpl w:val="C57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157C"/>
    <w:multiLevelType w:val="hybridMultilevel"/>
    <w:tmpl w:val="DFF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973A9"/>
    <w:multiLevelType w:val="hybridMultilevel"/>
    <w:tmpl w:val="F87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B7270"/>
    <w:multiLevelType w:val="hybridMultilevel"/>
    <w:tmpl w:val="0F324FFE"/>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F5546"/>
    <w:multiLevelType w:val="hybridMultilevel"/>
    <w:tmpl w:val="615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7AB4"/>
    <w:multiLevelType w:val="hybridMultilevel"/>
    <w:tmpl w:val="98A80434"/>
    <w:lvl w:ilvl="0" w:tplc="53484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57905BF"/>
    <w:multiLevelType w:val="hybridMultilevel"/>
    <w:tmpl w:val="96107DD6"/>
    <w:lvl w:ilvl="0" w:tplc="DA1A91DE">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6E7619E"/>
    <w:multiLevelType w:val="hybridMultilevel"/>
    <w:tmpl w:val="48B248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7B490F"/>
    <w:multiLevelType w:val="hybridMultilevel"/>
    <w:tmpl w:val="064E3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90207A"/>
    <w:multiLevelType w:val="hybridMultilevel"/>
    <w:tmpl w:val="21C0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72228"/>
    <w:multiLevelType w:val="hybridMultilevel"/>
    <w:tmpl w:val="6AC6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54CD6"/>
    <w:multiLevelType w:val="hybridMultilevel"/>
    <w:tmpl w:val="EF0C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B22B8"/>
    <w:multiLevelType w:val="hybridMultilevel"/>
    <w:tmpl w:val="866AF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20F65"/>
    <w:multiLevelType w:val="hybridMultilevel"/>
    <w:tmpl w:val="9742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A643E4"/>
    <w:multiLevelType w:val="hybridMultilevel"/>
    <w:tmpl w:val="CE067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F23A82"/>
    <w:multiLevelType w:val="hybridMultilevel"/>
    <w:tmpl w:val="9BAE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5653C"/>
    <w:multiLevelType w:val="hybridMultilevel"/>
    <w:tmpl w:val="F6E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A1347"/>
    <w:multiLevelType w:val="hybridMultilevel"/>
    <w:tmpl w:val="B26E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EF78D5"/>
    <w:multiLevelType w:val="multilevel"/>
    <w:tmpl w:val="24F2A0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7600E4C"/>
    <w:multiLevelType w:val="hybridMultilevel"/>
    <w:tmpl w:val="7C60D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3CB07E02"/>
    <w:multiLevelType w:val="hybridMultilevel"/>
    <w:tmpl w:val="B51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B22A6"/>
    <w:multiLevelType w:val="multilevel"/>
    <w:tmpl w:val="F9BC4832"/>
    <w:lvl w:ilvl="0">
      <w:start w:val="3"/>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403147DA"/>
    <w:multiLevelType w:val="hybridMultilevel"/>
    <w:tmpl w:val="6F28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D6717"/>
    <w:multiLevelType w:val="hybridMultilevel"/>
    <w:tmpl w:val="A1444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CD0EC8"/>
    <w:multiLevelType w:val="hybridMultilevel"/>
    <w:tmpl w:val="D3CA8D1E"/>
    <w:lvl w:ilvl="0" w:tplc="E4148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36C448F"/>
    <w:multiLevelType w:val="hybridMultilevel"/>
    <w:tmpl w:val="8302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BC76C6"/>
    <w:multiLevelType w:val="hybridMultilevel"/>
    <w:tmpl w:val="8DF4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36688"/>
    <w:multiLevelType w:val="hybridMultilevel"/>
    <w:tmpl w:val="83FE0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BD0C5B"/>
    <w:multiLevelType w:val="hybridMultilevel"/>
    <w:tmpl w:val="C65E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3114B0"/>
    <w:multiLevelType w:val="hybridMultilevel"/>
    <w:tmpl w:val="AC0CD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737F8E"/>
    <w:multiLevelType w:val="hybridMultilevel"/>
    <w:tmpl w:val="7B0E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6928D1"/>
    <w:multiLevelType w:val="hybridMultilevel"/>
    <w:tmpl w:val="E3A26AE4"/>
    <w:lvl w:ilvl="0" w:tplc="7B084E5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89784C"/>
    <w:multiLevelType w:val="hybridMultilevel"/>
    <w:tmpl w:val="860AB8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0" w15:restartNumberingAfterBreak="0">
    <w:nsid w:val="51474441"/>
    <w:multiLevelType w:val="hybridMultilevel"/>
    <w:tmpl w:val="9742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C81955"/>
    <w:multiLevelType w:val="hybridMultilevel"/>
    <w:tmpl w:val="F6CC7C14"/>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3721A6"/>
    <w:multiLevelType w:val="hybridMultilevel"/>
    <w:tmpl w:val="ED9AC89E"/>
    <w:lvl w:ilvl="0" w:tplc="D1C0350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F73584"/>
    <w:multiLevelType w:val="multilevel"/>
    <w:tmpl w:val="D9F885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5B21DB"/>
    <w:multiLevelType w:val="hybridMultilevel"/>
    <w:tmpl w:val="2ECC93F6"/>
    <w:lvl w:ilvl="0" w:tplc="4BDA6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A5551"/>
    <w:multiLevelType w:val="hybridMultilevel"/>
    <w:tmpl w:val="F3C2F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0B0A0C"/>
    <w:multiLevelType w:val="hybridMultilevel"/>
    <w:tmpl w:val="0DC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137647"/>
    <w:multiLevelType w:val="hybridMultilevel"/>
    <w:tmpl w:val="62445A0C"/>
    <w:lvl w:ilvl="0" w:tplc="E3F60CCC">
      <w:start w:val="1"/>
      <w:numFmt w:val="upperRoman"/>
      <w:lvlText w:val="%1."/>
      <w:lvlJc w:val="left"/>
      <w:pPr>
        <w:ind w:left="550" w:hanging="720"/>
      </w:pPr>
      <w:rPr>
        <w:rFonts w:hint="default"/>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49" w15:restartNumberingAfterBreak="0">
    <w:nsid w:val="5FC96CE4"/>
    <w:multiLevelType w:val="hybridMultilevel"/>
    <w:tmpl w:val="78B09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FA4CA4"/>
    <w:multiLevelType w:val="hybridMultilevel"/>
    <w:tmpl w:val="D1728CCE"/>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983F25"/>
    <w:multiLevelType w:val="hybridMultilevel"/>
    <w:tmpl w:val="8E863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67BE1F1A"/>
    <w:multiLevelType w:val="hybridMultilevel"/>
    <w:tmpl w:val="83246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821BC2"/>
    <w:multiLevelType w:val="hybridMultilevel"/>
    <w:tmpl w:val="25361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6E712314"/>
    <w:multiLevelType w:val="hybridMultilevel"/>
    <w:tmpl w:val="F6A26D96"/>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EF6B1E"/>
    <w:multiLevelType w:val="hybridMultilevel"/>
    <w:tmpl w:val="33662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4AE027F"/>
    <w:multiLevelType w:val="hybridMultilevel"/>
    <w:tmpl w:val="3992EE4E"/>
    <w:lvl w:ilvl="0" w:tplc="76E0E9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6D20AD"/>
    <w:multiLevelType w:val="hybridMultilevel"/>
    <w:tmpl w:val="55E49450"/>
    <w:lvl w:ilvl="0" w:tplc="C98ED51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C13468"/>
    <w:multiLevelType w:val="hybridMultilevel"/>
    <w:tmpl w:val="65D89322"/>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18478D"/>
    <w:multiLevelType w:val="hybridMultilevel"/>
    <w:tmpl w:val="B48CDB76"/>
    <w:lvl w:ilvl="0" w:tplc="86E0D04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A76A71"/>
    <w:multiLevelType w:val="hybridMultilevel"/>
    <w:tmpl w:val="798A0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B5E19F7"/>
    <w:multiLevelType w:val="hybridMultilevel"/>
    <w:tmpl w:val="EDEC3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7CE775CD"/>
    <w:multiLevelType w:val="hybridMultilevel"/>
    <w:tmpl w:val="35BA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24"/>
  </w:num>
  <w:num w:numId="4">
    <w:abstractNumId w:val="40"/>
  </w:num>
  <w:num w:numId="5">
    <w:abstractNumId w:val="19"/>
  </w:num>
  <w:num w:numId="6">
    <w:abstractNumId w:val="58"/>
  </w:num>
  <w:num w:numId="7">
    <w:abstractNumId w:val="42"/>
  </w:num>
  <w:num w:numId="8">
    <w:abstractNumId w:val="49"/>
  </w:num>
  <w:num w:numId="9">
    <w:abstractNumId w:val="17"/>
  </w:num>
  <w:num w:numId="10">
    <w:abstractNumId w:val="47"/>
  </w:num>
  <w:num w:numId="11">
    <w:abstractNumId w:val="53"/>
  </w:num>
  <w:num w:numId="12">
    <w:abstractNumId w:val="35"/>
  </w:num>
  <w:num w:numId="13">
    <w:abstractNumId w:val="34"/>
  </w:num>
  <w:num w:numId="14">
    <w:abstractNumId w:val="32"/>
  </w:num>
  <w:num w:numId="15">
    <w:abstractNumId w:val="2"/>
  </w:num>
  <w:num w:numId="16">
    <w:abstractNumId w:val="1"/>
  </w:num>
  <w:num w:numId="17">
    <w:abstractNumId w:val="3"/>
  </w:num>
  <w:num w:numId="18">
    <w:abstractNumId w:val="21"/>
  </w:num>
  <w:num w:numId="19">
    <w:abstractNumId w:val="33"/>
  </w:num>
  <w:num w:numId="20">
    <w:abstractNumId w:val="15"/>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4"/>
  </w:num>
  <w:num w:numId="25">
    <w:abstractNumId w:val="27"/>
  </w:num>
  <w:num w:numId="26">
    <w:abstractNumId w:val="50"/>
  </w:num>
  <w:num w:numId="27">
    <w:abstractNumId w:val="4"/>
  </w:num>
  <w:num w:numId="28">
    <w:abstractNumId w:val="56"/>
  </w:num>
  <w:num w:numId="29">
    <w:abstractNumId w:val="0"/>
  </w:num>
  <w:num w:numId="30">
    <w:abstractNumId w:val="60"/>
  </w:num>
  <w:num w:numId="31">
    <w:abstractNumId w:val="41"/>
  </w:num>
  <w:num w:numId="32">
    <w:abstractNumId w:val="37"/>
  </w:num>
  <w:num w:numId="33">
    <w:abstractNumId w:val="25"/>
  </w:num>
  <w:num w:numId="34">
    <w:abstractNumId w:val="65"/>
  </w:num>
  <w:num w:numId="35">
    <w:abstractNumId w:val="46"/>
  </w:num>
  <w:num w:numId="36">
    <w:abstractNumId w:val="51"/>
  </w:num>
  <w:num w:numId="37">
    <w:abstractNumId w:val="31"/>
  </w:num>
  <w:num w:numId="38">
    <w:abstractNumId w:val="29"/>
  </w:num>
  <w:num w:numId="39">
    <w:abstractNumId w:val="44"/>
  </w:num>
  <w:num w:numId="40">
    <w:abstractNumId w:val="6"/>
  </w:num>
  <w:num w:numId="41">
    <w:abstractNumId w:val="22"/>
  </w:num>
  <w:num w:numId="42">
    <w:abstractNumId w:val="61"/>
  </w:num>
  <w:num w:numId="43">
    <w:abstractNumId w:val="9"/>
  </w:num>
  <w:num w:numId="44">
    <w:abstractNumId w:val="7"/>
  </w:num>
  <w:num w:numId="45">
    <w:abstractNumId w:val="10"/>
  </w:num>
  <w:num w:numId="46">
    <w:abstractNumId w:val="13"/>
  </w:num>
  <w:num w:numId="47">
    <w:abstractNumId w:val="55"/>
  </w:num>
  <w:num w:numId="48">
    <w:abstractNumId w:val="12"/>
  </w:num>
  <w:num w:numId="49">
    <w:abstractNumId w:val="26"/>
  </w:num>
  <w:num w:numId="50">
    <w:abstractNumId w:val="64"/>
  </w:num>
  <w:num w:numId="51">
    <w:abstractNumId w:val="38"/>
  </w:num>
  <w:num w:numId="52">
    <w:abstractNumId w:val="8"/>
  </w:num>
  <w:num w:numId="53">
    <w:abstractNumId w:val="63"/>
  </w:num>
  <w:num w:numId="54">
    <w:abstractNumId w:val="52"/>
  </w:num>
  <w:num w:numId="55">
    <w:abstractNumId w:val="48"/>
  </w:num>
  <w:num w:numId="56">
    <w:abstractNumId w:val="16"/>
  </w:num>
  <w:num w:numId="57">
    <w:abstractNumId w:val="18"/>
  </w:num>
  <w:num w:numId="58">
    <w:abstractNumId w:val="45"/>
  </w:num>
  <w:num w:numId="59">
    <w:abstractNumId w:val="23"/>
  </w:num>
  <w:num w:numId="60">
    <w:abstractNumId w:val="30"/>
  </w:num>
  <w:num w:numId="61">
    <w:abstractNumId w:val="59"/>
  </w:num>
  <w:num w:numId="62">
    <w:abstractNumId w:val="36"/>
  </w:num>
  <w:num w:numId="63">
    <w:abstractNumId w:val="54"/>
  </w:num>
  <w:num w:numId="64">
    <w:abstractNumId w:val="62"/>
  </w:num>
  <w:num w:numId="65">
    <w:abstractNumId w:val="57"/>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C0"/>
    <w:rsid w:val="00000119"/>
    <w:rsid w:val="000001FC"/>
    <w:rsid w:val="00000615"/>
    <w:rsid w:val="00000646"/>
    <w:rsid w:val="00000D45"/>
    <w:rsid w:val="00001737"/>
    <w:rsid w:val="00001ECD"/>
    <w:rsid w:val="00002437"/>
    <w:rsid w:val="00002ADE"/>
    <w:rsid w:val="00002BE2"/>
    <w:rsid w:val="00002E11"/>
    <w:rsid w:val="00002F40"/>
    <w:rsid w:val="000034AA"/>
    <w:rsid w:val="00003614"/>
    <w:rsid w:val="000037AF"/>
    <w:rsid w:val="00003D7C"/>
    <w:rsid w:val="00004594"/>
    <w:rsid w:val="000048A0"/>
    <w:rsid w:val="0000504F"/>
    <w:rsid w:val="0000528E"/>
    <w:rsid w:val="000052C4"/>
    <w:rsid w:val="00006171"/>
    <w:rsid w:val="000061DE"/>
    <w:rsid w:val="00006C22"/>
    <w:rsid w:val="00006C78"/>
    <w:rsid w:val="00006FC0"/>
    <w:rsid w:val="0000731E"/>
    <w:rsid w:val="000076A4"/>
    <w:rsid w:val="00007C09"/>
    <w:rsid w:val="00011817"/>
    <w:rsid w:val="00011B71"/>
    <w:rsid w:val="00012101"/>
    <w:rsid w:val="00012CE1"/>
    <w:rsid w:val="00013049"/>
    <w:rsid w:val="000131D9"/>
    <w:rsid w:val="000133BD"/>
    <w:rsid w:val="00013AF0"/>
    <w:rsid w:val="00013BA8"/>
    <w:rsid w:val="00013F25"/>
    <w:rsid w:val="00014744"/>
    <w:rsid w:val="00015854"/>
    <w:rsid w:val="00015B58"/>
    <w:rsid w:val="00016C90"/>
    <w:rsid w:val="00017758"/>
    <w:rsid w:val="00017843"/>
    <w:rsid w:val="00020586"/>
    <w:rsid w:val="00020756"/>
    <w:rsid w:val="00020ACA"/>
    <w:rsid w:val="0002113B"/>
    <w:rsid w:val="000211F2"/>
    <w:rsid w:val="00021ED1"/>
    <w:rsid w:val="00022294"/>
    <w:rsid w:val="000222E9"/>
    <w:rsid w:val="00022AC5"/>
    <w:rsid w:val="000233FF"/>
    <w:rsid w:val="00023DA6"/>
    <w:rsid w:val="00023FA0"/>
    <w:rsid w:val="00024B3F"/>
    <w:rsid w:val="00024E34"/>
    <w:rsid w:val="00025047"/>
    <w:rsid w:val="000250A1"/>
    <w:rsid w:val="000250D2"/>
    <w:rsid w:val="00025833"/>
    <w:rsid w:val="0002592B"/>
    <w:rsid w:val="00025CA4"/>
    <w:rsid w:val="00025DC0"/>
    <w:rsid w:val="00026768"/>
    <w:rsid w:val="00026D2C"/>
    <w:rsid w:val="00026F08"/>
    <w:rsid w:val="00026F28"/>
    <w:rsid w:val="000271BC"/>
    <w:rsid w:val="00027B7C"/>
    <w:rsid w:val="00027CA9"/>
    <w:rsid w:val="00027E37"/>
    <w:rsid w:val="00030165"/>
    <w:rsid w:val="00030656"/>
    <w:rsid w:val="000306A4"/>
    <w:rsid w:val="0003090F"/>
    <w:rsid w:val="00030C03"/>
    <w:rsid w:val="00030EED"/>
    <w:rsid w:val="00031008"/>
    <w:rsid w:val="00031256"/>
    <w:rsid w:val="000313B1"/>
    <w:rsid w:val="00031480"/>
    <w:rsid w:val="00031523"/>
    <w:rsid w:val="00031707"/>
    <w:rsid w:val="000317C2"/>
    <w:rsid w:val="00031B3B"/>
    <w:rsid w:val="00032B1A"/>
    <w:rsid w:val="00032B70"/>
    <w:rsid w:val="00032E0D"/>
    <w:rsid w:val="000333CD"/>
    <w:rsid w:val="0003351D"/>
    <w:rsid w:val="00033BCF"/>
    <w:rsid w:val="00033D05"/>
    <w:rsid w:val="000343B6"/>
    <w:rsid w:val="00034731"/>
    <w:rsid w:val="0003495D"/>
    <w:rsid w:val="00034E98"/>
    <w:rsid w:val="000352B0"/>
    <w:rsid w:val="000354C0"/>
    <w:rsid w:val="00035BC6"/>
    <w:rsid w:val="00035DF1"/>
    <w:rsid w:val="00036132"/>
    <w:rsid w:val="00036BED"/>
    <w:rsid w:val="00036E01"/>
    <w:rsid w:val="00036FD3"/>
    <w:rsid w:val="0003708F"/>
    <w:rsid w:val="000371E8"/>
    <w:rsid w:val="00037584"/>
    <w:rsid w:val="0003778A"/>
    <w:rsid w:val="00037D3B"/>
    <w:rsid w:val="00037D9B"/>
    <w:rsid w:val="00040096"/>
    <w:rsid w:val="00040175"/>
    <w:rsid w:val="0004019F"/>
    <w:rsid w:val="0004039B"/>
    <w:rsid w:val="0004061A"/>
    <w:rsid w:val="00040C9B"/>
    <w:rsid w:val="00040DF8"/>
    <w:rsid w:val="00040EF5"/>
    <w:rsid w:val="00040FAD"/>
    <w:rsid w:val="00041032"/>
    <w:rsid w:val="00041108"/>
    <w:rsid w:val="000411D9"/>
    <w:rsid w:val="000412EC"/>
    <w:rsid w:val="000418D3"/>
    <w:rsid w:val="000418F8"/>
    <w:rsid w:val="00041CC1"/>
    <w:rsid w:val="000428D1"/>
    <w:rsid w:val="00042E3F"/>
    <w:rsid w:val="00042FA4"/>
    <w:rsid w:val="000433FC"/>
    <w:rsid w:val="000435D5"/>
    <w:rsid w:val="0004362C"/>
    <w:rsid w:val="00043A34"/>
    <w:rsid w:val="00043A7E"/>
    <w:rsid w:val="00043BB2"/>
    <w:rsid w:val="0004445D"/>
    <w:rsid w:val="00044AEE"/>
    <w:rsid w:val="00044E2E"/>
    <w:rsid w:val="0004567D"/>
    <w:rsid w:val="00045EA9"/>
    <w:rsid w:val="00045FCB"/>
    <w:rsid w:val="00046BF0"/>
    <w:rsid w:val="00046E09"/>
    <w:rsid w:val="0004720A"/>
    <w:rsid w:val="000473DE"/>
    <w:rsid w:val="0004744A"/>
    <w:rsid w:val="000474D4"/>
    <w:rsid w:val="00047942"/>
    <w:rsid w:val="00047E54"/>
    <w:rsid w:val="00050B53"/>
    <w:rsid w:val="000519D4"/>
    <w:rsid w:val="00052C28"/>
    <w:rsid w:val="00052DFD"/>
    <w:rsid w:val="000531DF"/>
    <w:rsid w:val="000535B5"/>
    <w:rsid w:val="00053A6E"/>
    <w:rsid w:val="00053B8E"/>
    <w:rsid w:val="000541F5"/>
    <w:rsid w:val="00054422"/>
    <w:rsid w:val="000551E7"/>
    <w:rsid w:val="00055B8D"/>
    <w:rsid w:val="00055D73"/>
    <w:rsid w:val="0005621C"/>
    <w:rsid w:val="0005668C"/>
    <w:rsid w:val="0005674B"/>
    <w:rsid w:val="00056DE7"/>
    <w:rsid w:val="00056E95"/>
    <w:rsid w:val="00057A0F"/>
    <w:rsid w:val="00060128"/>
    <w:rsid w:val="0006036A"/>
    <w:rsid w:val="000604C8"/>
    <w:rsid w:val="00060568"/>
    <w:rsid w:val="00060B17"/>
    <w:rsid w:val="000617D1"/>
    <w:rsid w:val="00062264"/>
    <w:rsid w:val="00062AF6"/>
    <w:rsid w:val="00062CCA"/>
    <w:rsid w:val="00063002"/>
    <w:rsid w:val="00063B4C"/>
    <w:rsid w:val="00063B59"/>
    <w:rsid w:val="00064417"/>
    <w:rsid w:val="000644CA"/>
    <w:rsid w:val="0006498E"/>
    <w:rsid w:val="00064F79"/>
    <w:rsid w:val="00065135"/>
    <w:rsid w:val="0006535E"/>
    <w:rsid w:val="00065A2E"/>
    <w:rsid w:val="00065B5C"/>
    <w:rsid w:val="00065F75"/>
    <w:rsid w:val="000660C6"/>
    <w:rsid w:val="000660F9"/>
    <w:rsid w:val="0006610C"/>
    <w:rsid w:val="000669EB"/>
    <w:rsid w:val="00067E5D"/>
    <w:rsid w:val="00067ECC"/>
    <w:rsid w:val="000704AC"/>
    <w:rsid w:val="00070C17"/>
    <w:rsid w:val="00072968"/>
    <w:rsid w:val="00072FA2"/>
    <w:rsid w:val="000734EB"/>
    <w:rsid w:val="00073543"/>
    <w:rsid w:val="00073551"/>
    <w:rsid w:val="00073CBA"/>
    <w:rsid w:val="00074CB6"/>
    <w:rsid w:val="000755BB"/>
    <w:rsid w:val="00075674"/>
    <w:rsid w:val="000758B3"/>
    <w:rsid w:val="000759CA"/>
    <w:rsid w:val="00075BAD"/>
    <w:rsid w:val="0007681C"/>
    <w:rsid w:val="00076D3C"/>
    <w:rsid w:val="00076E5A"/>
    <w:rsid w:val="00077AD7"/>
    <w:rsid w:val="000801A0"/>
    <w:rsid w:val="00080255"/>
    <w:rsid w:val="000803F4"/>
    <w:rsid w:val="000814E6"/>
    <w:rsid w:val="000815B6"/>
    <w:rsid w:val="000817B6"/>
    <w:rsid w:val="00081996"/>
    <w:rsid w:val="00081FD2"/>
    <w:rsid w:val="000822E9"/>
    <w:rsid w:val="00082345"/>
    <w:rsid w:val="00083133"/>
    <w:rsid w:val="00083C8D"/>
    <w:rsid w:val="00083EBC"/>
    <w:rsid w:val="0008424C"/>
    <w:rsid w:val="00084BD3"/>
    <w:rsid w:val="0008557C"/>
    <w:rsid w:val="0008565C"/>
    <w:rsid w:val="000856D2"/>
    <w:rsid w:val="0008582B"/>
    <w:rsid w:val="00085B33"/>
    <w:rsid w:val="00085EA6"/>
    <w:rsid w:val="0008625A"/>
    <w:rsid w:val="000878BB"/>
    <w:rsid w:val="000900AC"/>
    <w:rsid w:val="0009096C"/>
    <w:rsid w:val="00090B9D"/>
    <w:rsid w:val="00090CF8"/>
    <w:rsid w:val="000928ED"/>
    <w:rsid w:val="0009304E"/>
    <w:rsid w:val="00093BC9"/>
    <w:rsid w:val="00093D55"/>
    <w:rsid w:val="00094082"/>
    <w:rsid w:val="00094187"/>
    <w:rsid w:val="00094394"/>
    <w:rsid w:val="000946AA"/>
    <w:rsid w:val="00095582"/>
    <w:rsid w:val="00095D49"/>
    <w:rsid w:val="00095DEA"/>
    <w:rsid w:val="000969A4"/>
    <w:rsid w:val="0009724E"/>
    <w:rsid w:val="000A00DD"/>
    <w:rsid w:val="000A03E9"/>
    <w:rsid w:val="000A0468"/>
    <w:rsid w:val="000A0A80"/>
    <w:rsid w:val="000A0B5E"/>
    <w:rsid w:val="000A0EBB"/>
    <w:rsid w:val="000A1392"/>
    <w:rsid w:val="000A15DF"/>
    <w:rsid w:val="000A16EA"/>
    <w:rsid w:val="000A180A"/>
    <w:rsid w:val="000A2D38"/>
    <w:rsid w:val="000A2E58"/>
    <w:rsid w:val="000A33E9"/>
    <w:rsid w:val="000A373F"/>
    <w:rsid w:val="000A3BBD"/>
    <w:rsid w:val="000A43B1"/>
    <w:rsid w:val="000A45ED"/>
    <w:rsid w:val="000A494D"/>
    <w:rsid w:val="000A506A"/>
    <w:rsid w:val="000A67AA"/>
    <w:rsid w:val="000A7528"/>
    <w:rsid w:val="000A7CDE"/>
    <w:rsid w:val="000B1124"/>
    <w:rsid w:val="000B11B9"/>
    <w:rsid w:val="000B18CE"/>
    <w:rsid w:val="000B1DDF"/>
    <w:rsid w:val="000B1EFA"/>
    <w:rsid w:val="000B2747"/>
    <w:rsid w:val="000B2D94"/>
    <w:rsid w:val="000B4648"/>
    <w:rsid w:val="000B5101"/>
    <w:rsid w:val="000B536A"/>
    <w:rsid w:val="000B557B"/>
    <w:rsid w:val="000B5609"/>
    <w:rsid w:val="000B5623"/>
    <w:rsid w:val="000B59EC"/>
    <w:rsid w:val="000B5B98"/>
    <w:rsid w:val="000B61C9"/>
    <w:rsid w:val="000B64A6"/>
    <w:rsid w:val="000B6702"/>
    <w:rsid w:val="000B6726"/>
    <w:rsid w:val="000B76BD"/>
    <w:rsid w:val="000B78AC"/>
    <w:rsid w:val="000B7957"/>
    <w:rsid w:val="000B7A34"/>
    <w:rsid w:val="000C0E04"/>
    <w:rsid w:val="000C1053"/>
    <w:rsid w:val="000C1964"/>
    <w:rsid w:val="000C1C60"/>
    <w:rsid w:val="000C1FE5"/>
    <w:rsid w:val="000C224E"/>
    <w:rsid w:val="000C29D0"/>
    <w:rsid w:val="000C2AC6"/>
    <w:rsid w:val="000C2AF6"/>
    <w:rsid w:val="000C375A"/>
    <w:rsid w:val="000C3E6C"/>
    <w:rsid w:val="000C3FF6"/>
    <w:rsid w:val="000C441F"/>
    <w:rsid w:val="000C481E"/>
    <w:rsid w:val="000C51A6"/>
    <w:rsid w:val="000C51DB"/>
    <w:rsid w:val="000C6067"/>
    <w:rsid w:val="000C6373"/>
    <w:rsid w:val="000C6422"/>
    <w:rsid w:val="000C68C1"/>
    <w:rsid w:val="000C6AEB"/>
    <w:rsid w:val="000C6D6E"/>
    <w:rsid w:val="000C7B99"/>
    <w:rsid w:val="000C7CE2"/>
    <w:rsid w:val="000C7D94"/>
    <w:rsid w:val="000C7F39"/>
    <w:rsid w:val="000D0571"/>
    <w:rsid w:val="000D096F"/>
    <w:rsid w:val="000D0F40"/>
    <w:rsid w:val="000D0F80"/>
    <w:rsid w:val="000D155E"/>
    <w:rsid w:val="000D1B0A"/>
    <w:rsid w:val="000D1CFB"/>
    <w:rsid w:val="000D2732"/>
    <w:rsid w:val="000D2A16"/>
    <w:rsid w:val="000D2C38"/>
    <w:rsid w:val="000D2D5A"/>
    <w:rsid w:val="000D2E7B"/>
    <w:rsid w:val="000D33F7"/>
    <w:rsid w:val="000D440C"/>
    <w:rsid w:val="000D4DB6"/>
    <w:rsid w:val="000D4E6A"/>
    <w:rsid w:val="000D5536"/>
    <w:rsid w:val="000D5BAD"/>
    <w:rsid w:val="000D6B45"/>
    <w:rsid w:val="000D6CEA"/>
    <w:rsid w:val="000D6DEE"/>
    <w:rsid w:val="000D72DA"/>
    <w:rsid w:val="000D74F3"/>
    <w:rsid w:val="000D78E4"/>
    <w:rsid w:val="000E021F"/>
    <w:rsid w:val="000E129E"/>
    <w:rsid w:val="000E1477"/>
    <w:rsid w:val="000E14B6"/>
    <w:rsid w:val="000E1F9B"/>
    <w:rsid w:val="000E38F8"/>
    <w:rsid w:val="000E3DFE"/>
    <w:rsid w:val="000E4210"/>
    <w:rsid w:val="000E4733"/>
    <w:rsid w:val="000E4A17"/>
    <w:rsid w:val="000E54FD"/>
    <w:rsid w:val="000E5AFA"/>
    <w:rsid w:val="000E62F7"/>
    <w:rsid w:val="000E69C2"/>
    <w:rsid w:val="000E6F9F"/>
    <w:rsid w:val="000E794C"/>
    <w:rsid w:val="000E7EED"/>
    <w:rsid w:val="000F061A"/>
    <w:rsid w:val="000F09DE"/>
    <w:rsid w:val="000F24A1"/>
    <w:rsid w:val="000F2551"/>
    <w:rsid w:val="000F29B5"/>
    <w:rsid w:val="000F2C9B"/>
    <w:rsid w:val="000F314F"/>
    <w:rsid w:val="000F3F9D"/>
    <w:rsid w:val="000F4562"/>
    <w:rsid w:val="000F4D87"/>
    <w:rsid w:val="000F5099"/>
    <w:rsid w:val="000F54CF"/>
    <w:rsid w:val="000F57A6"/>
    <w:rsid w:val="000F5C9C"/>
    <w:rsid w:val="000F5EBF"/>
    <w:rsid w:val="000F63A2"/>
    <w:rsid w:val="000F6420"/>
    <w:rsid w:val="000F6499"/>
    <w:rsid w:val="000F6A56"/>
    <w:rsid w:val="000F6E2C"/>
    <w:rsid w:val="000F72DC"/>
    <w:rsid w:val="000F760C"/>
    <w:rsid w:val="000F7A3A"/>
    <w:rsid w:val="000F7C7B"/>
    <w:rsid w:val="001004BA"/>
    <w:rsid w:val="001011F2"/>
    <w:rsid w:val="00101772"/>
    <w:rsid w:val="0010269C"/>
    <w:rsid w:val="00102701"/>
    <w:rsid w:val="001027AE"/>
    <w:rsid w:val="00103209"/>
    <w:rsid w:val="001034AF"/>
    <w:rsid w:val="00104392"/>
    <w:rsid w:val="00104462"/>
    <w:rsid w:val="0010512E"/>
    <w:rsid w:val="00105B07"/>
    <w:rsid w:val="00105C94"/>
    <w:rsid w:val="00105E12"/>
    <w:rsid w:val="00105FA0"/>
    <w:rsid w:val="00106F1A"/>
    <w:rsid w:val="001077D6"/>
    <w:rsid w:val="00107BDF"/>
    <w:rsid w:val="00107E37"/>
    <w:rsid w:val="001101C7"/>
    <w:rsid w:val="0011058B"/>
    <w:rsid w:val="00110F96"/>
    <w:rsid w:val="00111877"/>
    <w:rsid w:val="00111D33"/>
    <w:rsid w:val="00111D97"/>
    <w:rsid w:val="00112459"/>
    <w:rsid w:val="001124F9"/>
    <w:rsid w:val="00112619"/>
    <w:rsid w:val="00113148"/>
    <w:rsid w:val="00113382"/>
    <w:rsid w:val="00113461"/>
    <w:rsid w:val="001138BA"/>
    <w:rsid w:val="00113DCF"/>
    <w:rsid w:val="00113F68"/>
    <w:rsid w:val="0011434F"/>
    <w:rsid w:val="0011441E"/>
    <w:rsid w:val="00114924"/>
    <w:rsid w:val="001150FD"/>
    <w:rsid w:val="001151B5"/>
    <w:rsid w:val="00115440"/>
    <w:rsid w:val="0011546B"/>
    <w:rsid w:val="00115566"/>
    <w:rsid w:val="00115A37"/>
    <w:rsid w:val="001161EF"/>
    <w:rsid w:val="00117709"/>
    <w:rsid w:val="00117A5F"/>
    <w:rsid w:val="00117B81"/>
    <w:rsid w:val="00117C63"/>
    <w:rsid w:val="00120052"/>
    <w:rsid w:val="00120C54"/>
    <w:rsid w:val="00120DCF"/>
    <w:rsid w:val="001211E5"/>
    <w:rsid w:val="0012164D"/>
    <w:rsid w:val="00121A62"/>
    <w:rsid w:val="00122E9F"/>
    <w:rsid w:val="00122FC4"/>
    <w:rsid w:val="00123235"/>
    <w:rsid w:val="001233F1"/>
    <w:rsid w:val="00123793"/>
    <w:rsid w:val="00123E63"/>
    <w:rsid w:val="00124460"/>
    <w:rsid w:val="00124517"/>
    <w:rsid w:val="00124B84"/>
    <w:rsid w:val="00125402"/>
    <w:rsid w:val="001254A4"/>
    <w:rsid w:val="0012557A"/>
    <w:rsid w:val="00126278"/>
    <w:rsid w:val="001262EE"/>
    <w:rsid w:val="00126BF7"/>
    <w:rsid w:val="00126E70"/>
    <w:rsid w:val="0012776C"/>
    <w:rsid w:val="00127CFE"/>
    <w:rsid w:val="00127D69"/>
    <w:rsid w:val="00127DC8"/>
    <w:rsid w:val="001300F2"/>
    <w:rsid w:val="001301CC"/>
    <w:rsid w:val="001306A4"/>
    <w:rsid w:val="00131337"/>
    <w:rsid w:val="0013164F"/>
    <w:rsid w:val="00131D3B"/>
    <w:rsid w:val="0013277A"/>
    <w:rsid w:val="0013280B"/>
    <w:rsid w:val="0013284A"/>
    <w:rsid w:val="0013324E"/>
    <w:rsid w:val="0013377D"/>
    <w:rsid w:val="001340AE"/>
    <w:rsid w:val="00134314"/>
    <w:rsid w:val="0013493F"/>
    <w:rsid w:val="00134C4C"/>
    <w:rsid w:val="00135372"/>
    <w:rsid w:val="00136185"/>
    <w:rsid w:val="001362D8"/>
    <w:rsid w:val="00136592"/>
    <w:rsid w:val="0013691E"/>
    <w:rsid w:val="00137119"/>
    <w:rsid w:val="00137458"/>
    <w:rsid w:val="00137906"/>
    <w:rsid w:val="00137AD5"/>
    <w:rsid w:val="00137D43"/>
    <w:rsid w:val="001403FA"/>
    <w:rsid w:val="00140420"/>
    <w:rsid w:val="00140882"/>
    <w:rsid w:val="001408CB"/>
    <w:rsid w:val="00140FAA"/>
    <w:rsid w:val="00141AA2"/>
    <w:rsid w:val="00142532"/>
    <w:rsid w:val="001425FD"/>
    <w:rsid w:val="0014287D"/>
    <w:rsid w:val="00143439"/>
    <w:rsid w:val="001437F7"/>
    <w:rsid w:val="00143CC7"/>
    <w:rsid w:val="001454C5"/>
    <w:rsid w:val="00145741"/>
    <w:rsid w:val="00146257"/>
    <w:rsid w:val="0014641D"/>
    <w:rsid w:val="00146A2C"/>
    <w:rsid w:val="00146A5A"/>
    <w:rsid w:val="001470CF"/>
    <w:rsid w:val="0014713A"/>
    <w:rsid w:val="00147505"/>
    <w:rsid w:val="00147856"/>
    <w:rsid w:val="00147CBA"/>
    <w:rsid w:val="00147EB6"/>
    <w:rsid w:val="001505A3"/>
    <w:rsid w:val="00151727"/>
    <w:rsid w:val="00152359"/>
    <w:rsid w:val="00152D39"/>
    <w:rsid w:val="00152FA4"/>
    <w:rsid w:val="0015310F"/>
    <w:rsid w:val="00153184"/>
    <w:rsid w:val="001534BF"/>
    <w:rsid w:val="00153D25"/>
    <w:rsid w:val="00153DD7"/>
    <w:rsid w:val="0015485C"/>
    <w:rsid w:val="00154E67"/>
    <w:rsid w:val="0015510D"/>
    <w:rsid w:val="00155DB8"/>
    <w:rsid w:val="00156193"/>
    <w:rsid w:val="001569C6"/>
    <w:rsid w:val="00156CAA"/>
    <w:rsid w:val="00156CFF"/>
    <w:rsid w:val="00157107"/>
    <w:rsid w:val="00157383"/>
    <w:rsid w:val="00157728"/>
    <w:rsid w:val="00157808"/>
    <w:rsid w:val="00157964"/>
    <w:rsid w:val="00157A16"/>
    <w:rsid w:val="00157FB3"/>
    <w:rsid w:val="00160CAB"/>
    <w:rsid w:val="00160EF0"/>
    <w:rsid w:val="001610D5"/>
    <w:rsid w:val="001610D7"/>
    <w:rsid w:val="00161532"/>
    <w:rsid w:val="00161AAF"/>
    <w:rsid w:val="00161F72"/>
    <w:rsid w:val="00162A53"/>
    <w:rsid w:val="00162B5F"/>
    <w:rsid w:val="00162DF0"/>
    <w:rsid w:val="00163B18"/>
    <w:rsid w:val="00164310"/>
    <w:rsid w:val="00164580"/>
    <w:rsid w:val="001645AD"/>
    <w:rsid w:val="001649AD"/>
    <w:rsid w:val="00164B95"/>
    <w:rsid w:val="00164E3C"/>
    <w:rsid w:val="00164FBD"/>
    <w:rsid w:val="00164FDC"/>
    <w:rsid w:val="00164FF5"/>
    <w:rsid w:val="00165471"/>
    <w:rsid w:val="0016579B"/>
    <w:rsid w:val="00165818"/>
    <w:rsid w:val="00165A93"/>
    <w:rsid w:val="00166365"/>
    <w:rsid w:val="0016637B"/>
    <w:rsid w:val="0016738A"/>
    <w:rsid w:val="00167AA6"/>
    <w:rsid w:val="00167B45"/>
    <w:rsid w:val="00167E43"/>
    <w:rsid w:val="00167F06"/>
    <w:rsid w:val="001702EE"/>
    <w:rsid w:val="001704E7"/>
    <w:rsid w:val="0017051D"/>
    <w:rsid w:val="0017052D"/>
    <w:rsid w:val="001709C2"/>
    <w:rsid w:val="00170EEE"/>
    <w:rsid w:val="00170F4E"/>
    <w:rsid w:val="00170F62"/>
    <w:rsid w:val="001714B0"/>
    <w:rsid w:val="0017194B"/>
    <w:rsid w:val="00171F0B"/>
    <w:rsid w:val="0017237A"/>
    <w:rsid w:val="0017248A"/>
    <w:rsid w:val="001729BB"/>
    <w:rsid w:val="00172B93"/>
    <w:rsid w:val="00172D3D"/>
    <w:rsid w:val="00172ED4"/>
    <w:rsid w:val="00172F29"/>
    <w:rsid w:val="00173997"/>
    <w:rsid w:val="00174373"/>
    <w:rsid w:val="001749AA"/>
    <w:rsid w:val="00174AE2"/>
    <w:rsid w:val="001751A3"/>
    <w:rsid w:val="00175E04"/>
    <w:rsid w:val="0017615B"/>
    <w:rsid w:val="0018014A"/>
    <w:rsid w:val="00180279"/>
    <w:rsid w:val="00180560"/>
    <w:rsid w:val="00180BF9"/>
    <w:rsid w:val="00180DC4"/>
    <w:rsid w:val="00180E94"/>
    <w:rsid w:val="00181497"/>
    <w:rsid w:val="00181612"/>
    <w:rsid w:val="001820A3"/>
    <w:rsid w:val="001820E1"/>
    <w:rsid w:val="001828A8"/>
    <w:rsid w:val="001830AA"/>
    <w:rsid w:val="00183BF7"/>
    <w:rsid w:val="001842DB"/>
    <w:rsid w:val="0018442D"/>
    <w:rsid w:val="0018459C"/>
    <w:rsid w:val="001848BA"/>
    <w:rsid w:val="0018573E"/>
    <w:rsid w:val="00185CB5"/>
    <w:rsid w:val="00185DEA"/>
    <w:rsid w:val="00186C8B"/>
    <w:rsid w:val="00186E05"/>
    <w:rsid w:val="0018705F"/>
    <w:rsid w:val="001871B5"/>
    <w:rsid w:val="001871DA"/>
    <w:rsid w:val="001871E1"/>
    <w:rsid w:val="00190002"/>
    <w:rsid w:val="0019168D"/>
    <w:rsid w:val="00191902"/>
    <w:rsid w:val="00191EDB"/>
    <w:rsid w:val="0019286A"/>
    <w:rsid w:val="001936DF"/>
    <w:rsid w:val="00194424"/>
    <w:rsid w:val="00194646"/>
    <w:rsid w:val="0019475D"/>
    <w:rsid w:val="001950A4"/>
    <w:rsid w:val="0019522F"/>
    <w:rsid w:val="00195B9C"/>
    <w:rsid w:val="00195F5B"/>
    <w:rsid w:val="001965BE"/>
    <w:rsid w:val="00197005"/>
    <w:rsid w:val="001970AE"/>
    <w:rsid w:val="00197127"/>
    <w:rsid w:val="00197385"/>
    <w:rsid w:val="00197507"/>
    <w:rsid w:val="001977FE"/>
    <w:rsid w:val="00197859"/>
    <w:rsid w:val="001A08DA"/>
    <w:rsid w:val="001A17EA"/>
    <w:rsid w:val="001A1811"/>
    <w:rsid w:val="001A1868"/>
    <w:rsid w:val="001A1A95"/>
    <w:rsid w:val="001A2162"/>
    <w:rsid w:val="001A23D8"/>
    <w:rsid w:val="001A2561"/>
    <w:rsid w:val="001A2D7E"/>
    <w:rsid w:val="001A37A8"/>
    <w:rsid w:val="001A4561"/>
    <w:rsid w:val="001A482C"/>
    <w:rsid w:val="001A53B8"/>
    <w:rsid w:val="001A5754"/>
    <w:rsid w:val="001A59D8"/>
    <w:rsid w:val="001A5DAF"/>
    <w:rsid w:val="001A6217"/>
    <w:rsid w:val="001A655D"/>
    <w:rsid w:val="001A65C5"/>
    <w:rsid w:val="001A6A70"/>
    <w:rsid w:val="001A6C4D"/>
    <w:rsid w:val="001A6FFF"/>
    <w:rsid w:val="001B00E5"/>
    <w:rsid w:val="001B031D"/>
    <w:rsid w:val="001B041D"/>
    <w:rsid w:val="001B0BD7"/>
    <w:rsid w:val="001B121C"/>
    <w:rsid w:val="001B17A9"/>
    <w:rsid w:val="001B1934"/>
    <w:rsid w:val="001B1C97"/>
    <w:rsid w:val="001B201E"/>
    <w:rsid w:val="001B2849"/>
    <w:rsid w:val="001B2D84"/>
    <w:rsid w:val="001B338B"/>
    <w:rsid w:val="001B34A5"/>
    <w:rsid w:val="001B352F"/>
    <w:rsid w:val="001B35A2"/>
    <w:rsid w:val="001B38ED"/>
    <w:rsid w:val="001B3E9E"/>
    <w:rsid w:val="001B4416"/>
    <w:rsid w:val="001B4AF9"/>
    <w:rsid w:val="001B4D63"/>
    <w:rsid w:val="001B4E77"/>
    <w:rsid w:val="001B4EAA"/>
    <w:rsid w:val="001B525D"/>
    <w:rsid w:val="001B52EA"/>
    <w:rsid w:val="001B5995"/>
    <w:rsid w:val="001B59C7"/>
    <w:rsid w:val="001B5B4D"/>
    <w:rsid w:val="001B6429"/>
    <w:rsid w:val="001B6509"/>
    <w:rsid w:val="001B6545"/>
    <w:rsid w:val="001B71A3"/>
    <w:rsid w:val="001B79B0"/>
    <w:rsid w:val="001B7A5D"/>
    <w:rsid w:val="001C0025"/>
    <w:rsid w:val="001C08AD"/>
    <w:rsid w:val="001C0BC1"/>
    <w:rsid w:val="001C0CBC"/>
    <w:rsid w:val="001C0DC6"/>
    <w:rsid w:val="001C0F37"/>
    <w:rsid w:val="001C1615"/>
    <w:rsid w:val="001C1D33"/>
    <w:rsid w:val="001C2191"/>
    <w:rsid w:val="001C222F"/>
    <w:rsid w:val="001C2B9B"/>
    <w:rsid w:val="001C2E08"/>
    <w:rsid w:val="001C3626"/>
    <w:rsid w:val="001C3BBE"/>
    <w:rsid w:val="001C4382"/>
    <w:rsid w:val="001C441E"/>
    <w:rsid w:val="001C466E"/>
    <w:rsid w:val="001C48D3"/>
    <w:rsid w:val="001C5C4C"/>
    <w:rsid w:val="001C5DA8"/>
    <w:rsid w:val="001C6196"/>
    <w:rsid w:val="001C6580"/>
    <w:rsid w:val="001C7B67"/>
    <w:rsid w:val="001C7C20"/>
    <w:rsid w:val="001C7F60"/>
    <w:rsid w:val="001D05DD"/>
    <w:rsid w:val="001D115D"/>
    <w:rsid w:val="001D122C"/>
    <w:rsid w:val="001D2117"/>
    <w:rsid w:val="001D2175"/>
    <w:rsid w:val="001D2237"/>
    <w:rsid w:val="001D2D90"/>
    <w:rsid w:val="001D30C9"/>
    <w:rsid w:val="001D4170"/>
    <w:rsid w:val="001D4AA6"/>
    <w:rsid w:val="001D4B2F"/>
    <w:rsid w:val="001D4FC1"/>
    <w:rsid w:val="001D4FEF"/>
    <w:rsid w:val="001D5247"/>
    <w:rsid w:val="001D6222"/>
    <w:rsid w:val="001D6806"/>
    <w:rsid w:val="001D6FB6"/>
    <w:rsid w:val="001D733C"/>
    <w:rsid w:val="001D785D"/>
    <w:rsid w:val="001E05BE"/>
    <w:rsid w:val="001E067B"/>
    <w:rsid w:val="001E128E"/>
    <w:rsid w:val="001E13CD"/>
    <w:rsid w:val="001E16B5"/>
    <w:rsid w:val="001E1A4F"/>
    <w:rsid w:val="001E20D0"/>
    <w:rsid w:val="001E27E7"/>
    <w:rsid w:val="001E33E0"/>
    <w:rsid w:val="001E34B7"/>
    <w:rsid w:val="001E3AFA"/>
    <w:rsid w:val="001E3D37"/>
    <w:rsid w:val="001E4C92"/>
    <w:rsid w:val="001E5B0E"/>
    <w:rsid w:val="001E5E81"/>
    <w:rsid w:val="001E69FE"/>
    <w:rsid w:val="001E6B03"/>
    <w:rsid w:val="001E7124"/>
    <w:rsid w:val="001E7F4F"/>
    <w:rsid w:val="001F03C4"/>
    <w:rsid w:val="001F0BE5"/>
    <w:rsid w:val="001F0CED"/>
    <w:rsid w:val="001F1694"/>
    <w:rsid w:val="001F2744"/>
    <w:rsid w:val="001F277F"/>
    <w:rsid w:val="001F2B79"/>
    <w:rsid w:val="001F2CE8"/>
    <w:rsid w:val="001F2FF8"/>
    <w:rsid w:val="001F3578"/>
    <w:rsid w:val="001F3685"/>
    <w:rsid w:val="001F3838"/>
    <w:rsid w:val="001F3A52"/>
    <w:rsid w:val="001F414A"/>
    <w:rsid w:val="001F47F2"/>
    <w:rsid w:val="001F5029"/>
    <w:rsid w:val="001F5984"/>
    <w:rsid w:val="001F5A3D"/>
    <w:rsid w:val="001F5F42"/>
    <w:rsid w:val="001F608A"/>
    <w:rsid w:val="001F731E"/>
    <w:rsid w:val="001F78CA"/>
    <w:rsid w:val="001F7FB9"/>
    <w:rsid w:val="00200309"/>
    <w:rsid w:val="00200E84"/>
    <w:rsid w:val="002013ED"/>
    <w:rsid w:val="00201551"/>
    <w:rsid w:val="0020199F"/>
    <w:rsid w:val="00201CFD"/>
    <w:rsid w:val="002028D9"/>
    <w:rsid w:val="00202C7D"/>
    <w:rsid w:val="00202F5E"/>
    <w:rsid w:val="00203616"/>
    <w:rsid w:val="00203A9D"/>
    <w:rsid w:val="00204622"/>
    <w:rsid w:val="00204812"/>
    <w:rsid w:val="002049BC"/>
    <w:rsid w:val="002050E7"/>
    <w:rsid w:val="002053A5"/>
    <w:rsid w:val="00205A39"/>
    <w:rsid w:val="0020603A"/>
    <w:rsid w:val="002064FF"/>
    <w:rsid w:val="0020651D"/>
    <w:rsid w:val="002068F7"/>
    <w:rsid w:val="00206E8C"/>
    <w:rsid w:val="0020757C"/>
    <w:rsid w:val="00207983"/>
    <w:rsid w:val="002101C8"/>
    <w:rsid w:val="0021026F"/>
    <w:rsid w:val="002109E0"/>
    <w:rsid w:val="00210C44"/>
    <w:rsid w:val="00210D05"/>
    <w:rsid w:val="00211DEF"/>
    <w:rsid w:val="002127DA"/>
    <w:rsid w:val="0021311B"/>
    <w:rsid w:val="0021380A"/>
    <w:rsid w:val="00213AD3"/>
    <w:rsid w:val="00214C4D"/>
    <w:rsid w:val="00214E6E"/>
    <w:rsid w:val="00214EBD"/>
    <w:rsid w:val="0021575A"/>
    <w:rsid w:val="00215ED7"/>
    <w:rsid w:val="00215FC8"/>
    <w:rsid w:val="00216E92"/>
    <w:rsid w:val="00216F6D"/>
    <w:rsid w:val="00217438"/>
    <w:rsid w:val="002174DC"/>
    <w:rsid w:val="002208D3"/>
    <w:rsid w:val="0022138A"/>
    <w:rsid w:val="00222217"/>
    <w:rsid w:val="00222596"/>
    <w:rsid w:val="0022271A"/>
    <w:rsid w:val="00222A8C"/>
    <w:rsid w:val="00222B92"/>
    <w:rsid w:val="00223259"/>
    <w:rsid w:val="002237C4"/>
    <w:rsid w:val="00223856"/>
    <w:rsid w:val="00223A00"/>
    <w:rsid w:val="00224726"/>
    <w:rsid w:val="00225217"/>
    <w:rsid w:val="00225ED4"/>
    <w:rsid w:val="0022608A"/>
    <w:rsid w:val="002267CE"/>
    <w:rsid w:val="00226AAB"/>
    <w:rsid w:val="00226AC1"/>
    <w:rsid w:val="00227618"/>
    <w:rsid w:val="0022774A"/>
    <w:rsid w:val="002305C8"/>
    <w:rsid w:val="00230DC8"/>
    <w:rsid w:val="00230F94"/>
    <w:rsid w:val="0023112B"/>
    <w:rsid w:val="0023128C"/>
    <w:rsid w:val="00231691"/>
    <w:rsid w:val="002317FF"/>
    <w:rsid w:val="002319C5"/>
    <w:rsid w:val="00231B88"/>
    <w:rsid w:val="00231D37"/>
    <w:rsid w:val="00231F58"/>
    <w:rsid w:val="00232015"/>
    <w:rsid w:val="00232511"/>
    <w:rsid w:val="00232DEE"/>
    <w:rsid w:val="002330A1"/>
    <w:rsid w:val="00233849"/>
    <w:rsid w:val="00233867"/>
    <w:rsid w:val="00234129"/>
    <w:rsid w:val="00234373"/>
    <w:rsid w:val="0023450F"/>
    <w:rsid w:val="00235219"/>
    <w:rsid w:val="00235655"/>
    <w:rsid w:val="00235AF9"/>
    <w:rsid w:val="00236034"/>
    <w:rsid w:val="002369A4"/>
    <w:rsid w:val="00236A02"/>
    <w:rsid w:val="00236CE5"/>
    <w:rsid w:val="00236FD2"/>
    <w:rsid w:val="002373F5"/>
    <w:rsid w:val="00240A3E"/>
    <w:rsid w:val="00240C9A"/>
    <w:rsid w:val="00240DED"/>
    <w:rsid w:val="002411D8"/>
    <w:rsid w:val="002423CC"/>
    <w:rsid w:val="002425D5"/>
    <w:rsid w:val="00242A74"/>
    <w:rsid w:val="00242EE7"/>
    <w:rsid w:val="002435F8"/>
    <w:rsid w:val="002443E3"/>
    <w:rsid w:val="002444AD"/>
    <w:rsid w:val="002444F3"/>
    <w:rsid w:val="00244699"/>
    <w:rsid w:val="00244EA0"/>
    <w:rsid w:val="00245369"/>
    <w:rsid w:val="002456B8"/>
    <w:rsid w:val="00245923"/>
    <w:rsid w:val="00246711"/>
    <w:rsid w:val="00246898"/>
    <w:rsid w:val="00246B9C"/>
    <w:rsid w:val="00246CFB"/>
    <w:rsid w:val="00246FB9"/>
    <w:rsid w:val="0024725B"/>
    <w:rsid w:val="00247BBA"/>
    <w:rsid w:val="00247E37"/>
    <w:rsid w:val="00247F4A"/>
    <w:rsid w:val="002500C8"/>
    <w:rsid w:val="0025016F"/>
    <w:rsid w:val="002506FF"/>
    <w:rsid w:val="002508B4"/>
    <w:rsid w:val="00250CAA"/>
    <w:rsid w:val="0025170C"/>
    <w:rsid w:val="00251937"/>
    <w:rsid w:val="00251AA7"/>
    <w:rsid w:val="00251C7C"/>
    <w:rsid w:val="00251E6A"/>
    <w:rsid w:val="00252532"/>
    <w:rsid w:val="0025273C"/>
    <w:rsid w:val="0025353D"/>
    <w:rsid w:val="00253DDC"/>
    <w:rsid w:val="002544A1"/>
    <w:rsid w:val="00254C5C"/>
    <w:rsid w:val="00255288"/>
    <w:rsid w:val="00255344"/>
    <w:rsid w:val="002556CB"/>
    <w:rsid w:val="00255B93"/>
    <w:rsid w:val="002560FE"/>
    <w:rsid w:val="002567E2"/>
    <w:rsid w:val="00256CF9"/>
    <w:rsid w:val="0025722E"/>
    <w:rsid w:val="00257343"/>
    <w:rsid w:val="00260068"/>
    <w:rsid w:val="0026024D"/>
    <w:rsid w:val="00260DDC"/>
    <w:rsid w:val="0026124A"/>
    <w:rsid w:val="0026161C"/>
    <w:rsid w:val="00261C0F"/>
    <w:rsid w:val="00262E2C"/>
    <w:rsid w:val="00263974"/>
    <w:rsid w:val="00263B5F"/>
    <w:rsid w:val="0026421F"/>
    <w:rsid w:val="002642AF"/>
    <w:rsid w:val="002647D8"/>
    <w:rsid w:val="00264ACD"/>
    <w:rsid w:val="00264B2B"/>
    <w:rsid w:val="00264FD0"/>
    <w:rsid w:val="00265856"/>
    <w:rsid w:val="00265E5F"/>
    <w:rsid w:val="00265E89"/>
    <w:rsid w:val="002664C9"/>
    <w:rsid w:val="00266607"/>
    <w:rsid w:val="00266758"/>
    <w:rsid w:val="00267622"/>
    <w:rsid w:val="002676A3"/>
    <w:rsid w:val="00267AE4"/>
    <w:rsid w:val="0027005E"/>
    <w:rsid w:val="00270EF7"/>
    <w:rsid w:val="00271155"/>
    <w:rsid w:val="0027132A"/>
    <w:rsid w:val="00271FE2"/>
    <w:rsid w:val="002722BA"/>
    <w:rsid w:val="002727FD"/>
    <w:rsid w:val="00273503"/>
    <w:rsid w:val="002744F2"/>
    <w:rsid w:val="0027479D"/>
    <w:rsid w:val="00274DFC"/>
    <w:rsid w:val="00275221"/>
    <w:rsid w:val="00275420"/>
    <w:rsid w:val="00275DF1"/>
    <w:rsid w:val="002763F6"/>
    <w:rsid w:val="00276543"/>
    <w:rsid w:val="002765A1"/>
    <w:rsid w:val="002767DB"/>
    <w:rsid w:val="00276B9D"/>
    <w:rsid w:val="00277425"/>
    <w:rsid w:val="00277FDB"/>
    <w:rsid w:val="0028055E"/>
    <w:rsid w:val="0028090E"/>
    <w:rsid w:val="00280C41"/>
    <w:rsid w:val="00280C56"/>
    <w:rsid w:val="00281501"/>
    <w:rsid w:val="0028189D"/>
    <w:rsid w:val="00282292"/>
    <w:rsid w:val="0028262C"/>
    <w:rsid w:val="00282B68"/>
    <w:rsid w:val="00282CD6"/>
    <w:rsid w:val="0028366D"/>
    <w:rsid w:val="00283C27"/>
    <w:rsid w:val="00283FBA"/>
    <w:rsid w:val="00284158"/>
    <w:rsid w:val="00285A11"/>
    <w:rsid w:val="00285A91"/>
    <w:rsid w:val="00286095"/>
    <w:rsid w:val="00286113"/>
    <w:rsid w:val="002861D7"/>
    <w:rsid w:val="00286613"/>
    <w:rsid w:val="002866A6"/>
    <w:rsid w:val="00286D40"/>
    <w:rsid w:val="002870C0"/>
    <w:rsid w:val="00287763"/>
    <w:rsid w:val="00290027"/>
    <w:rsid w:val="00290619"/>
    <w:rsid w:val="002930C4"/>
    <w:rsid w:val="00293907"/>
    <w:rsid w:val="00293B0A"/>
    <w:rsid w:val="00293E83"/>
    <w:rsid w:val="00294033"/>
    <w:rsid w:val="002943E1"/>
    <w:rsid w:val="00295376"/>
    <w:rsid w:val="0029540D"/>
    <w:rsid w:val="00295A43"/>
    <w:rsid w:val="00295B5E"/>
    <w:rsid w:val="00295BC0"/>
    <w:rsid w:val="00295C30"/>
    <w:rsid w:val="00296C5E"/>
    <w:rsid w:val="002972B9"/>
    <w:rsid w:val="00297A8E"/>
    <w:rsid w:val="00297C85"/>
    <w:rsid w:val="00297F68"/>
    <w:rsid w:val="002A0683"/>
    <w:rsid w:val="002A075B"/>
    <w:rsid w:val="002A0E60"/>
    <w:rsid w:val="002A127C"/>
    <w:rsid w:val="002A1996"/>
    <w:rsid w:val="002A1AAC"/>
    <w:rsid w:val="002A1F82"/>
    <w:rsid w:val="002A22C3"/>
    <w:rsid w:val="002A237B"/>
    <w:rsid w:val="002A2F27"/>
    <w:rsid w:val="002A302F"/>
    <w:rsid w:val="002A3248"/>
    <w:rsid w:val="002A36F6"/>
    <w:rsid w:val="002A3BCA"/>
    <w:rsid w:val="002A3E51"/>
    <w:rsid w:val="002A40F4"/>
    <w:rsid w:val="002A4389"/>
    <w:rsid w:val="002A4441"/>
    <w:rsid w:val="002A4C1A"/>
    <w:rsid w:val="002A56A7"/>
    <w:rsid w:val="002A5763"/>
    <w:rsid w:val="002A59B5"/>
    <w:rsid w:val="002A5FE2"/>
    <w:rsid w:val="002A612B"/>
    <w:rsid w:val="002A64BC"/>
    <w:rsid w:val="002A659C"/>
    <w:rsid w:val="002A68A4"/>
    <w:rsid w:val="002A6EA2"/>
    <w:rsid w:val="002B0B4B"/>
    <w:rsid w:val="002B164F"/>
    <w:rsid w:val="002B1883"/>
    <w:rsid w:val="002B1C6C"/>
    <w:rsid w:val="002B1C88"/>
    <w:rsid w:val="002B1D11"/>
    <w:rsid w:val="002B1DF6"/>
    <w:rsid w:val="002B1E26"/>
    <w:rsid w:val="002B2EFE"/>
    <w:rsid w:val="002B3498"/>
    <w:rsid w:val="002B35F6"/>
    <w:rsid w:val="002B41A0"/>
    <w:rsid w:val="002B49A0"/>
    <w:rsid w:val="002B4CE6"/>
    <w:rsid w:val="002B56BC"/>
    <w:rsid w:val="002B5727"/>
    <w:rsid w:val="002B5878"/>
    <w:rsid w:val="002B620D"/>
    <w:rsid w:val="002B6ADD"/>
    <w:rsid w:val="002B6B25"/>
    <w:rsid w:val="002B6E2E"/>
    <w:rsid w:val="002B73E9"/>
    <w:rsid w:val="002B754A"/>
    <w:rsid w:val="002B7930"/>
    <w:rsid w:val="002B7D16"/>
    <w:rsid w:val="002B7E32"/>
    <w:rsid w:val="002C0163"/>
    <w:rsid w:val="002C0314"/>
    <w:rsid w:val="002C12E4"/>
    <w:rsid w:val="002C1AA6"/>
    <w:rsid w:val="002C1D29"/>
    <w:rsid w:val="002C2014"/>
    <w:rsid w:val="002C20FA"/>
    <w:rsid w:val="002C2661"/>
    <w:rsid w:val="002C3106"/>
    <w:rsid w:val="002C3A20"/>
    <w:rsid w:val="002C3E25"/>
    <w:rsid w:val="002C4582"/>
    <w:rsid w:val="002C4BBD"/>
    <w:rsid w:val="002C508F"/>
    <w:rsid w:val="002C5A40"/>
    <w:rsid w:val="002C5FEE"/>
    <w:rsid w:val="002C632B"/>
    <w:rsid w:val="002C713E"/>
    <w:rsid w:val="002C728F"/>
    <w:rsid w:val="002C7658"/>
    <w:rsid w:val="002C79C1"/>
    <w:rsid w:val="002D033C"/>
    <w:rsid w:val="002D0A95"/>
    <w:rsid w:val="002D0DE9"/>
    <w:rsid w:val="002D0F47"/>
    <w:rsid w:val="002D1147"/>
    <w:rsid w:val="002D1389"/>
    <w:rsid w:val="002D15B5"/>
    <w:rsid w:val="002D1812"/>
    <w:rsid w:val="002D1A25"/>
    <w:rsid w:val="002D1B37"/>
    <w:rsid w:val="002D22A1"/>
    <w:rsid w:val="002D260B"/>
    <w:rsid w:val="002D2C80"/>
    <w:rsid w:val="002D3232"/>
    <w:rsid w:val="002D3CB6"/>
    <w:rsid w:val="002D420E"/>
    <w:rsid w:val="002D430E"/>
    <w:rsid w:val="002D450F"/>
    <w:rsid w:val="002D51D4"/>
    <w:rsid w:val="002D52F9"/>
    <w:rsid w:val="002D552D"/>
    <w:rsid w:val="002D565F"/>
    <w:rsid w:val="002D56FF"/>
    <w:rsid w:val="002D5F0A"/>
    <w:rsid w:val="002D6226"/>
    <w:rsid w:val="002D655E"/>
    <w:rsid w:val="002D710F"/>
    <w:rsid w:val="002D76E1"/>
    <w:rsid w:val="002D7EC3"/>
    <w:rsid w:val="002E02AE"/>
    <w:rsid w:val="002E0727"/>
    <w:rsid w:val="002E0A12"/>
    <w:rsid w:val="002E0D57"/>
    <w:rsid w:val="002E1A35"/>
    <w:rsid w:val="002E1C87"/>
    <w:rsid w:val="002E23BB"/>
    <w:rsid w:val="002E248B"/>
    <w:rsid w:val="002E2D67"/>
    <w:rsid w:val="002E33F5"/>
    <w:rsid w:val="002E3833"/>
    <w:rsid w:val="002E3E10"/>
    <w:rsid w:val="002E45A6"/>
    <w:rsid w:val="002E4DFE"/>
    <w:rsid w:val="002E564D"/>
    <w:rsid w:val="002E65BD"/>
    <w:rsid w:val="002E7B9B"/>
    <w:rsid w:val="002F01C6"/>
    <w:rsid w:val="002F09C8"/>
    <w:rsid w:val="002F0A65"/>
    <w:rsid w:val="002F0AD2"/>
    <w:rsid w:val="002F1474"/>
    <w:rsid w:val="002F1836"/>
    <w:rsid w:val="002F18D2"/>
    <w:rsid w:val="002F2ECC"/>
    <w:rsid w:val="002F3187"/>
    <w:rsid w:val="002F32E1"/>
    <w:rsid w:val="002F372F"/>
    <w:rsid w:val="002F3928"/>
    <w:rsid w:val="002F461E"/>
    <w:rsid w:val="002F4BC8"/>
    <w:rsid w:val="002F5132"/>
    <w:rsid w:val="002F5DD4"/>
    <w:rsid w:val="002F6076"/>
    <w:rsid w:val="002F61CA"/>
    <w:rsid w:val="002F70B8"/>
    <w:rsid w:val="002F7289"/>
    <w:rsid w:val="002F781D"/>
    <w:rsid w:val="002F7AF9"/>
    <w:rsid w:val="00300347"/>
    <w:rsid w:val="003008FA"/>
    <w:rsid w:val="0030099A"/>
    <w:rsid w:val="003009D3"/>
    <w:rsid w:val="0030118F"/>
    <w:rsid w:val="003012F4"/>
    <w:rsid w:val="003013C6"/>
    <w:rsid w:val="00301832"/>
    <w:rsid w:val="003018C2"/>
    <w:rsid w:val="00301F48"/>
    <w:rsid w:val="003028F4"/>
    <w:rsid w:val="00302E53"/>
    <w:rsid w:val="00303270"/>
    <w:rsid w:val="00303292"/>
    <w:rsid w:val="00303549"/>
    <w:rsid w:val="00303894"/>
    <w:rsid w:val="003038FA"/>
    <w:rsid w:val="00303A15"/>
    <w:rsid w:val="00303D26"/>
    <w:rsid w:val="00303DE4"/>
    <w:rsid w:val="0030492B"/>
    <w:rsid w:val="00304E26"/>
    <w:rsid w:val="00304E5B"/>
    <w:rsid w:val="00306318"/>
    <w:rsid w:val="003067BF"/>
    <w:rsid w:val="0030719E"/>
    <w:rsid w:val="00307EC5"/>
    <w:rsid w:val="00310325"/>
    <w:rsid w:val="0031039E"/>
    <w:rsid w:val="00310AEE"/>
    <w:rsid w:val="00310F42"/>
    <w:rsid w:val="0031110B"/>
    <w:rsid w:val="00311361"/>
    <w:rsid w:val="00312130"/>
    <w:rsid w:val="003121E1"/>
    <w:rsid w:val="00312225"/>
    <w:rsid w:val="00312353"/>
    <w:rsid w:val="00312387"/>
    <w:rsid w:val="003127DC"/>
    <w:rsid w:val="003133B9"/>
    <w:rsid w:val="00313B9F"/>
    <w:rsid w:val="00313BB6"/>
    <w:rsid w:val="003140A3"/>
    <w:rsid w:val="003148B7"/>
    <w:rsid w:val="003154C4"/>
    <w:rsid w:val="00315665"/>
    <w:rsid w:val="00315F30"/>
    <w:rsid w:val="003162C8"/>
    <w:rsid w:val="00316FA2"/>
    <w:rsid w:val="0031707C"/>
    <w:rsid w:val="003172EC"/>
    <w:rsid w:val="00317301"/>
    <w:rsid w:val="0031762F"/>
    <w:rsid w:val="00317A5B"/>
    <w:rsid w:val="0032106D"/>
    <w:rsid w:val="003214E4"/>
    <w:rsid w:val="003217DB"/>
    <w:rsid w:val="0032187C"/>
    <w:rsid w:val="00322652"/>
    <w:rsid w:val="00322912"/>
    <w:rsid w:val="00323E91"/>
    <w:rsid w:val="0032473C"/>
    <w:rsid w:val="003248C5"/>
    <w:rsid w:val="00324B6E"/>
    <w:rsid w:val="0032589F"/>
    <w:rsid w:val="00326367"/>
    <w:rsid w:val="0032684F"/>
    <w:rsid w:val="00326A14"/>
    <w:rsid w:val="00327199"/>
    <w:rsid w:val="00327200"/>
    <w:rsid w:val="0032788E"/>
    <w:rsid w:val="00330239"/>
    <w:rsid w:val="003304DE"/>
    <w:rsid w:val="00330601"/>
    <w:rsid w:val="00330780"/>
    <w:rsid w:val="00330FCF"/>
    <w:rsid w:val="0033131E"/>
    <w:rsid w:val="00332E66"/>
    <w:rsid w:val="00332FAE"/>
    <w:rsid w:val="0033331E"/>
    <w:rsid w:val="003334AB"/>
    <w:rsid w:val="003335B8"/>
    <w:rsid w:val="003335D9"/>
    <w:rsid w:val="003339D5"/>
    <w:rsid w:val="00333E5B"/>
    <w:rsid w:val="00334270"/>
    <w:rsid w:val="0033559D"/>
    <w:rsid w:val="00335650"/>
    <w:rsid w:val="003357EE"/>
    <w:rsid w:val="00335AA8"/>
    <w:rsid w:val="00336043"/>
    <w:rsid w:val="003364D4"/>
    <w:rsid w:val="003365BB"/>
    <w:rsid w:val="00336E16"/>
    <w:rsid w:val="00341295"/>
    <w:rsid w:val="00341384"/>
    <w:rsid w:val="00342D6C"/>
    <w:rsid w:val="00342FD7"/>
    <w:rsid w:val="00343B66"/>
    <w:rsid w:val="00343D2D"/>
    <w:rsid w:val="00344285"/>
    <w:rsid w:val="00344302"/>
    <w:rsid w:val="003443AD"/>
    <w:rsid w:val="003450E8"/>
    <w:rsid w:val="0034599C"/>
    <w:rsid w:val="00345DF4"/>
    <w:rsid w:val="00346336"/>
    <w:rsid w:val="00346447"/>
    <w:rsid w:val="00346456"/>
    <w:rsid w:val="00346779"/>
    <w:rsid w:val="00346983"/>
    <w:rsid w:val="00346D23"/>
    <w:rsid w:val="00347293"/>
    <w:rsid w:val="00347588"/>
    <w:rsid w:val="00347AC4"/>
    <w:rsid w:val="00347AC6"/>
    <w:rsid w:val="00350733"/>
    <w:rsid w:val="00352390"/>
    <w:rsid w:val="0035273E"/>
    <w:rsid w:val="003529EE"/>
    <w:rsid w:val="00352B58"/>
    <w:rsid w:val="00353183"/>
    <w:rsid w:val="00353916"/>
    <w:rsid w:val="00354477"/>
    <w:rsid w:val="0035586D"/>
    <w:rsid w:val="003561F7"/>
    <w:rsid w:val="0035632D"/>
    <w:rsid w:val="003563D5"/>
    <w:rsid w:val="003565F6"/>
    <w:rsid w:val="00356F19"/>
    <w:rsid w:val="00357606"/>
    <w:rsid w:val="00357759"/>
    <w:rsid w:val="00360B6E"/>
    <w:rsid w:val="00360DDC"/>
    <w:rsid w:val="00360F2A"/>
    <w:rsid w:val="003619B3"/>
    <w:rsid w:val="00361C98"/>
    <w:rsid w:val="003625D5"/>
    <w:rsid w:val="00362BDF"/>
    <w:rsid w:val="00363461"/>
    <w:rsid w:val="00363B7F"/>
    <w:rsid w:val="00363DA7"/>
    <w:rsid w:val="003647AA"/>
    <w:rsid w:val="00364853"/>
    <w:rsid w:val="0036519F"/>
    <w:rsid w:val="003655C5"/>
    <w:rsid w:val="003658E2"/>
    <w:rsid w:val="00366F3E"/>
    <w:rsid w:val="00366FB6"/>
    <w:rsid w:val="00367334"/>
    <w:rsid w:val="003674C0"/>
    <w:rsid w:val="00367581"/>
    <w:rsid w:val="003679D5"/>
    <w:rsid w:val="003679F9"/>
    <w:rsid w:val="00370385"/>
    <w:rsid w:val="003709B4"/>
    <w:rsid w:val="00370CEC"/>
    <w:rsid w:val="003712D7"/>
    <w:rsid w:val="00371587"/>
    <w:rsid w:val="00371FBE"/>
    <w:rsid w:val="00372997"/>
    <w:rsid w:val="00372D9B"/>
    <w:rsid w:val="00372DAE"/>
    <w:rsid w:val="0037308D"/>
    <w:rsid w:val="003737AB"/>
    <w:rsid w:val="00373A68"/>
    <w:rsid w:val="00374058"/>
    <w:rsid w:val="0037419C"/>
    <w:rsid w:val="003748D3"/>
    <w:rsid w:val="00375184"/>
    <w:rsid w:val="003751CC"/>
    <w:rsid w:val="0037546F"/>
    <w:rsid w:val="00375F4D"/>
    <w:rsid w:val="003768FB"/>
    <w:rsid w:val="00376BDA"/>
    <w:rsid w:val="00377109"/>
    <w:rsid w:val="0037773D"/>
    <w:rsid w:val="00377A1A"/>
    <w:rsid w:val="00380270"/>
    <w:rsid w:val="00380326"/>
    <w:rsid w:val="00380568"/>
    <w:rsid w:val="00380583"/>
    <w:rsid w:val="003807C5"/>
    <w:rsid w:val="00380815"/>
    <w:rsid w:val="00380D85"/>
    <w:rsid w:val="00380EC7"/>
    <w:rsid w:val="003814D1"/>
    <w:rsid w:val="003815A2"/>
    <w:rsid w:val="003816E8"/>
    <w:rsid w:val="00382777"/>
    <w:rsid w:val="00382941"/>
    <w:rsid w:val="003835D0"/>
    <w:rsid w:val="003838AE"/>
    <w:rsid w:val="003840F2"/>
    <w:rsid w:val="00384A80"/>
    <w:rsid w:val="00384D0F"/>
    <w:rsid w:val="003851E8"/>
    <w:rsid w:val="003853D8"/>
    <w:rsid w:val="0038574C"/>
    <w:rsid w:val="00385B0C"/>
    <w:rsid w:val="00385FE1"/>
    <w:rsid w:val="00386521"/>
    <w:rsid w:val="003867CC"/>
    <w:rsid w:val="00386CBD"/>
    <w:rsid w:val="00387136"/>
    <w:rsid w:val="003871DE"/>
    <w:rsid w:val="00387288"/>
    <w:rsid w:val="003879A4"/>
    <w:rsid w:val="003902C6"/>
    <w:rsid w:val="003903BF"/>
    <w:rsid w:val="00390496"/>
    <w:rsid w:val="0039050B"/>
    <w:rsid w:val="00390ACF"/>
    <w:rsid w:val="00390AFD"/>
    <w:rsid w:val="00390C94"/>
    <w:rsid w:val="00390C9A"/>
    <w:rsid w:val="00390DFD"/>
    <w:rsid w:val="0039101E"/>
    <w:rsid w:val="003914D6"/>
    <w:rsid w:val="0039167B"/>
    <w:rsid w:val="00392497"/>
    <w:rsid w:val="003929F0"/>
    <w:rsid w:val="00392CEF"/>
    <w:rsid w:val="003934B6"/>
    <w:rsid w:val="00394067"/>
    <w:rsid w:val="0039473C"/>
    <w:rsid w:val="0039526A"/>
    <w:rsid w:val="0039558D"/>
    <w:rsid w:val="00395702"/>
    <w:rsid w:val="0039576E"/>
    <w:rsid w:val="0039637F"/>
    <w:rsid w:val="0039659D"/>
    <w:rsid w:val="00396940"/>
    <w:rsid w:val="00397524"/>
    <w:rsid w:val="00397749"/>
    <w:rsid w:val="00397A0C"/>
    <w:rsid w:val="003A0437"/>
    <w:rsid w:val="003A05AB"/>
    <w:rsid w:val="003A0BD9"/>
    <w:rsid w:val="003A0EE9"/>
    <w:rsid w:val="003A0F0B"/>
    <w:rsid w:val="003A0F3D"/>
    <w:rsid w:val="003A14AD"/>
    <w:rsid w:val="003A156D"/>
    <w:rsid w:val="003A2287"/>
    <w:rsid w:val="003A25B6"/>
    <w:rsid w:val="003A3C1E"/>
    <w:rsid w:val="003A406A"/>
    <w:rsid w:val="003A411D"/>
    <w:rsid w:val="003A4679"/>
    <w:rsid w:val="003A473D"/>
    <w:rsid w:val="003A5E05"/>
    <w:rsid w:val="003A6491"/>
    <w:rsid w:val="003A77B7"/>
    <w:rsid w:val="003B05AC"/>
    <w:rsid w:val="003B075D"/>
    <w:rsid w:val="003B07D0"/>
    <w:rsid w:val="003B12E8"/>
    <w:rsid w:val="003B131F"/>
    <w:rsid w:val="003B15CF"/>
    <w:rsid w:val="003B15F3"/>
    <w:rsid w:val="003B16C3"/>
    <w:rsid w:val="003B1939"/>
    <w:rsid w:val="003B1BDF"/>
    <w:rsid w:val="003B1CFA"/>
    <w:rsid w:val="003B1D93"/>
    <w:rsid w:val="003B2577"/>
    <w:rsid w:val="003B2582"/>
    <w:rsid w:val="003B2BA6"/>
    <w:rsid w:val="003B2BC8"/>
    <w:rsid w:val="003B32B7"/>
    <w:rsid w:val="003B36A1"/>
    <w:rsid w:val="003B40A8"/>
    <w:rsid w:val="003B469A"/>
    <w:rsid w:val="003B49A7"/>
    <w:rsid w:val="003B4A26"/>
    <w:rsid w:val="003B58DE"/>
    <w:rsid w:val="003B5D63"/>
    <w:rsid w:val="003B6301"/>
    <w:rsid w:val="003B6359"/>
    <w:rsid w:val="003B6CCA"/>
    <w:rsid w:val="003B6F76"/>
    <w:rsid w:val="003B7220"/>
    <w:rsid w:val="003B7588"/>
    <w:rsid w:val="003B782E"/>
    <w:rsid w:val="003C08A0"/>
    <w:rsid w:val="003C09D7"/>
    <w:rsid w:val="003C0C1A"/>
    <w:rsid w:val="003C0C67"/>
    <w:rsid w:val="003C21D7"/>
    <w:rsid w:val="003C23F1"/>
    <w:rsid w:val="003C247C"/>
    <w:rsid w:val="003C25B7"/>
    <w:rsid w:val="003C2F1E"/>
    <w:rsid w:val="003C335E"/>
    <w:rsid w:val="003C3656"/>
    <w:rsid w:val="003C3C27"/>
    <w:rsid w:val="003C3C76"/>
    <w:rsid w:val="003C413D"/>
    <w:rsid w:val="003C41E0"/>
    <w:rsid w:val="003C4802"/>
    <w:rsid w:val="003C4A13"/>
    <w:rsid w:val="003C4E17"/>
    <w:rsid w:val="003C523F"/>
    <w:rsid w:val="003C54E5"/>
    <w:rsid w:val="003C670C"/>
    <w:rsid w:val="003C6DAD"/>
    <w:rsid w:val="003C6F02"/>
    <w:rsid w:val="003C75DE"/>
    <w:rsid w:val="003D00A4"/>
    <w:rsid w:val="003D05BD"/>
    <w:rsid w:val="003D05ED"/>
    <w:rsid w:val="003D075A"/>
    <w:rsid w:val="003D0873"/>
    <w:rsid w:val="003D0BE0"/>
    <w:rsid w:val="003D10F6"/>
    <w:rsid w:val="003D1B09"/>
    <w:rsid w:val="003D2873"/>
    <w:rsid w:val="003D2C70"/>
    <w:rsid w:val="003D2DF6"/>
    <w:rsid w:val="003D3075"/>
    <w:rsid w:val="003D3FDB"/>
    <w:rsid w:val="003D42AF"/>
    <w:rsid w:val="003D46F5"/>
    <w:rsid w:val="003D47AC"/>
    <w:rsid w:val="003D49F6"/>
    <w:rsid w:val="003D503E"/>
    <w:rsid w:val="003D50C8"/>
    <w:rsid w:val="003D50CB"/>
    <w:rsid w:val="003D58A9"/>
    <w:rsid w:val="003D58BA"/>
    <w:rsid w:val="003D5A4C"/>
    <w:rsid w:val="003D633D"/>
    <w:rsid w:val="003D6565"/>
    <w:rsid w:val="003D6B51"/>
    <w:rsid w:val="003D72D6"/>
    <w:rsid w:val="003D75EF"/>
    <w:rsid w:val="003D7989"/>
    <w:rsid w:val="003D7B08"/>
    <w:rsid w:val="003E03DE"/>
    <w:rsid w:val="003E088E"/>
    <w:rsid w:val="003E1302"/>
    <w:rsid w:val="003E3221"/>
    <w:rsid w:val="003E3A7C"/>
    <w:rsid w:val="003E3CD5"/>
    <w:rsid w:val="003E3D01"/>
    <w:rsid w:val="003E3FE7"/>
    <w:rsid w:val="003E4662"/>
    <w:rsid w:val="003E4E84"/>
    <w:rsid w:val="003E5C95"/>
    <w:rsid w:val="003E6316"/>
    <w:rsid w:val="003E67BB"/>
    <w:rsid w:val="003E6DF1"/>
    <w:rsid w:val="003E7674"/>
    <w:rsid w:val="003E7FA0"/>
    <w:rsid w:val="003F001D"/>
    <w:rsid w:val="003F03D3"/>
    <w:rsid w:val="003F09BF"/>
    <w:rsid w:val="003F0E1B"/>
    <w:rsid w:val="003F1077"/>
    <w:rsid w:val="003F1B06"/>
    <w:rsid w:val="003F1B29"/>
    <w:rsid w:val="003F1CF9"/>
    <w:rsid w:val="003F1E87"/>
    <w:rsid w:val="003F1EDF"/>
    <w:rsid w:val="003F2448"/>
    <w:rsid w:val="003F2555"/>
    <w:rsid w:val="003F2909"/>
    <w:rsid w:val="003F2DF9"/>
    <w:rsid w:val="003F42FD"/>
    <w:rsid w:val="003F4BA7"/>
    <w:rsid w:val="003F5662"/>
    <w:rsid w:val="003F598A"/>
    <w:rsid w:val="003F63F3"/>
    <w:rsid w:val="003F6C75"/>
    <w:rsid w:val="003F6CF2"/>
    <w:rsid w:val="003F7039"/>
    <w:rsid w:val="003F7605"/>
    <w:rsid w:val="003F76E8"/>
    <w:rsid w:val="003F7AF9"/>
    <w:rsid w:val="003F7BF0"/>
    <w:rsid w:val="0040045E"/>
    <w:rsid w:val="004007D8"/>
    <w:rsid w:val="00400823"/>
    <w:rsid w:val="00400A09"/>
    <w:rsid w:val="00400E7E"/>
    <w:rsid w:val="004011EA"/>
    <w:rsid w:val="004012BA"/>
    <w:rsid w:val="004015C4"/>
    <w:rsid w:val="004015CD"/>
    <w:rsid w:val="00401C3D"/>
    <w:rsid w:val="00401EA5"/>
    <w:rsid w:val="00401FB6"/>
    <w:rsid w:val="004022D1"/>
    <w:rsid w:val="00402462"/>
    <w:rsid w:val="0040330F"/>
    <w:rsid w:val="004034AD"/>
    <w:rsid w:val="004039F2"/>
    <w:rsid w:val="00403E60"/>
    <w:rsid w:val="004046E6"/>
    <w:rsid w:val="00404763"/>
    <w:rsid w:val="00404FDF"/>
    <w:rsid w:val="0040515B"/>
    <w:rsid w:val="00405E5D"/>
    <w:rsid w:val="00405FA2"/>
    <w:rsid w:val="00406543"/>
    <w:rsid w:val="00407174"/>
    <w:rsid w:val="00407D6D"/>
    <w:rsid w:val="00407D8D"/>
    <w:rsid w:val="0041002A"/>
    <w:rsid w:val="00410E14"/>
    <w:rsid w:val="00410E3D"/>
    <w:rsid w:val="004124FB"/>
    <w:rsid w:val="0041256F"/>
    <w:rsid w:val="00412673"/>
    <w:rsid w:val="00412683"/>
    <w:rsid w:val="004127DD"/>
    <w:rsid w:val="00412CA6"/>
    <w:rsid w:val="00412DF8"/>
    <w:rsid w:val="0041379B"/>
    <w:rsid w:val="00413862"/>
    <w:rsid w:val="00414010"/>
    <w:rsid w:val="004144E6"/>
    <w:rsid w:val="0041472C"/>
    <w:rsid w:val="0041569C"/>
    <w:rsid w:val="00415856"/>
    <w:rsid w:val="00415E93"/>
    <w:rsid w:val="00416251"/>
    <w:rsid w:val="0041648C"/>
    <w:rsid w:val="00416524"/>
    <w:rsid w:val="00416529"/>
    <w:rsid w:val="00416A1B"/>
    <w:rsid w:val="00416D7C"/>
    <w:rsid w:val="0041713D"/>
    <w:rsid w:val="00417226"/>
    <w:rsid w:val="00417668"/>
    <w:rsid w:val="004201CB"/>
    <w:rsid w:val="00420372"/>
    <w:rsid w:val="00420604"/>
    <w:rsid w:val="00420675"/>
    <w:rsid w:val="00420CDA"/>
    <w:rsid w:val="00420EE6"/>
    <w:rsid w:val="00421FB9"/>
    <w:rsid w:val="00422A88"/>
    <w:rsid w:val="00423107"/>
    <w:rsid w:val="00423338"/>
    <w:rsid w:val="00423395"/>
    <w:rsid w:val="00423684"/>
    <w:rsid w:val="00424476"/>
    <w:rsid w:val="00424B60"/>
    <w:rsid w:val="00424C9D"/>
    <w:rsid w:val="00424D38"/>
    <w:rsid w:val="00424DED"/>
    <w:rsid w:val="00425C27"/>
    <w:rsid w:val="004266F0"/>
    <w:rsid w:val="00426829"/>
    <w:rsid w:val="00426889"/>
    <w:rsid w:val="00426A36"/>
    <w:rsid w:val="00427578"/>
    <w:rsid w:val="00427F7E"/>
    <w:rsid w:val="00430143"/>
    <w:rsid w:val="004301CD"/>
    <w:rsid w:val="00430349"/>
    <w:rsid w:val="00430461"/>
    <w:rsid w:val="004310A0"/>
    <w:rsid w:val="0043184B"/>
    <w:rsid w:val="0043199D"/>
    <w:rsid w:val="00431B42"/>
    <w:rsid w:val="0043340A"/>
    <w:rsid w:val="00433B5B"/>
    <w:rsid w:val="004340B6"/>
    <w:rsid w:val="004345A4"/>
    <w:rsid w:val="004345CD"/>
    <w:rsid w:val="004346B6"/>
    <w:rsid w:val="00434915"/>
    <w:rsid w:val="00434C98"/>
    <w:rsid w:val="00434DBD"/>
    <w:rsid w:val="0043528C"/>
    <w:rsid w:val="00435500"/>
    <w:rsid w:val="00436283"/>
    <w:rsid w:val="004366BC"/>
    <w:rsid w:val="004374B4"/>
    <w:rsid w:val="0043764F"/>
    <w:rsid w:val="0043780A"/>
    <w:rsid w:val="004379DD"/>
    <w:rsid w:val="0044001D"/>
    <w:rsid w:val="00441461"/>
    <w:rsid w:val="00441B6A"/>
    <w:rsid w:val="00441F7C"/>
    <w:rsid w:val="00442220"/>
    <w:rsid w:val="00442DED"/>
    <w:rsid w:val="004432E9"/>
    <w:rsid w:val="004436CA"/>
    <w:rsid w:val="00444A59"/>
    <w:rsid w:val="00444A81"/>
    <w:rsid w:val="00444AED"/>
    <w:rsid w:val="004455A0"/>
    <w:rsid w:val="0044585E"/>
    <w:rsid w:val="0044598B"/>
    <w:rsid w:val="0044694B"/>
    <w:rsid w:val="00446B66"/>
    <w:rsid w:val="00446F05"/>
    <w:rsid w:val="00447059"/>
    <w:rsid w:val="004474DE"/>
    <w:rsid w:val="004476BF"/>
    <w:rsid w:val="004476CA"/>
    <w:rsid w:val="00447B92"/>
    <w:rsid w:val="00450CD7"/>
    <w:rsid w:val="00452E54"/>
    <w:rsid w:val="00453095"/>
    <w:rsid w:val="0045325B"/>
    <w:rsid w:val="00453300"/>
    <w:rsid w:val="00453BCF"/>
    <w:rsid w:val="00453D4B"/>
    <w:rsid w:val="00454701"/>
    <w:rsid w:val="00454A58"/>
    <w:rsid w:val="00454C80"/>
    <w:rsid w:val="00454E36"/>
    <w:rsid w:val="00454EC8"/>
    <w:rsid w:val="00455597"/>
    <w:rsid w:val="004559E4"/>
    <w:rsid w:val="00455FBF"/>
    <w:rsid w:val="00456ED7"/>
    <w:rsid w:val="00457730"/>
    <w:rsid w:val="004579A6"/>
    <w:rsid w:val="004600C2"/>
    <w:rsid w:val="0046067D"/>
    <w:rsid w:val="0046132F"/>
    <w:rsid w:val="0046159E"/>
    <w:rsid w:val="00461626"/>
    <w:rsid w:val="00461D52"/>
    <w:rsid w:val="00461D61"/>
    <w:rsid w:val="004621D9"/>
    <w:rsid w:val="004625DA"/>
    <w:rsid w:val="0046269E"/>
    <w:rsid w:val="00462C93"/>
    <w:rsid w:val="00462E10"/>
    <w:rsid w:val="0046314C"/>
    <w:rsid w:val="004635DC"/>
    <w:rsid w:val="004647CE"/>
    <w:rsid w:val="004647EA"/>
    <w:rsid w:val="00464925"/>
    <w:rsid w:val="0046498C"/>
    <w:rsid w:val="00464AFD"/>
    <w:rsid w:val="00464C58"/>
    <w:rsid w:val="004662D5"/>
    <w:rsid w:val="004667BD"/>
    <w:rsid w:val="004673E0"/>
    <w:rsid w:val="0046746E"/>
    <w:rsid w:val="004676BF"/>
    <w:rsid w:val="00467880"/>
    <w:rsid w:val="00467CA3"/>
    <w:rsid w:val="0047015E"/>
    <w:rsid w:val="00470662"/>
    <w:rsid w:val="00470B9C"/>
    <w:rsid w:val="00470DFB"/>
    <w:rsid w:val="00471104"/>
    <w:rsid w:val="00471366"/>
    <w:rsid w:val="00471384"/>
    <w:rsid w:val="0047166D"/>
    <w:rsid w:val="00471ACE"/>
    <w:rsid w:val="004720BB"/>
    <w:rsid w:val="00472372"/>
    <w:rsid w:val="00472491"/>
    <w:rsid w:val="00472C4E"/>
    <w:rsid w:val="00473153"/>
    <w:rsid w:val="0047323E"/>
    <w:rsid w:val="00473D1A"/>
    <w:rsid w:val="00473DE3"/>
    <w:rsid w:val="004746F5"/>
    <w:rsid w:val="00474877"/>
    <w:rsid w:val="00474A92"/>
    <w:rsid w:val="00474EF7"/>
    <w:rsid w:val="00475D0F"/>
    <w:rsid w:val="00475E2B"/>
    <w:rsid w:val="00476146"/>
    <w:rsid w:val="00476835"/>
    <w:rsid w:val="00476C67"/>
    <w:rsid w:val="00476EEE"/>
    <w:rsid w:val="00480A94"/>
    <w:rsid w:val="004811EB"/>
    <w:rsid w:val="00481203"/>
    <w:rsid w:val="00481208"/>
    <w:rsid w:val="00481262"/>
    <w:rsid w:val="00481287"/>
    <w:rsid w:val="004813E8"/>
    <w:rsid w:val="00481601"/>
    <w:rsid w:val="004816D9"/>
    <w:rsid w:val="00481A2A"/>
    <w:rsid w:val="00481A79"/>
    <w:rsid w:val="00481AAE"/>
    <w:rsid w:val="00481FA8"/>
    <w:rsid w:val="00482014"/>
    <w:rsid w:val="0048220C"/>
    <w:rsid w:val="00482B53"/>
    <w:rsid w:val="00482C3F"/>
    <w:rsid w:val="004831AC"/>
    <w:rsid w:val="0048355D"/>
    <w:rsid w:val="0048405C"/>
    <w:rsid w:val="00484B37"/>
    <w:rsid w:val="00485FA0"/>
    <w:rsid w:val="004865C5"/>
    <w:rsid w:val="004869C7"/>
    <w:rsid w:val="00486D0C"/>
    <w:rsid w:val="00486F59"/>
    <w:rsid w:val="0048718D"/>
    <w:rsid w:val="00487612"/>
    <w:rsid w:val="004876B9"/>
    <w:rsid w:val="004876E8"/>
    <w:rsid w:val="00487EE1"/>
    <w:rsid w:val="00487EE6"/>
    <w:rsid w:val="00487F15"/>
    <w:rsid w:val="004902FE"/>
    <w:rsid w:val="004904E5"/>
    <w:rsid w:val="00490648"/>
    <w:rsid w:val="00490833"/>
    <w:rsid w:val="0049089A"/>
    <w:rsid w:val="0049120D"/>
    <w:rsid w:val="00491983"/>
    <w:rsid w:val="00491A01"/>
    <w:rsid w:val="00491EA2"/>
    <w:rsid w:val="00491EDF"/>
    <w:rsid w:val="004920EE"/>
    <w:rsid w:val="00492EB4"/>
    <w:rsid w:val="004931A0"/>
    <w:rsid w:val="00493410"/>
    <w:rsid w:val="004939A5"/>
    <w:rsid w:val="00494DDC"/>
    <w:rsid w:val="004954A1"/>
    <w:rsid w:val="00495E39"/>
    <w:rsid w:val="00495E69"/>
    <w:rsid w:val="00496CC0"/>
    <w:rsid w:val="0049712E"/>
    <w:rsid w:val="00497312"/>
    <w:rsid w:val="00497A03"/>
    <w:rsid w:val="004A015D"/>
    <w:rsid w:val="004A093A"/>
    <w:rsid w:val="004A0C79"/>
    <w:rsid w:val="004A0D25"/>
    <w:rsid w:val="004A10E3"/>
    <w:rsid w:val="004A1CBC"/>
    <w:rsid w:val="004A1DD3"/>
    <w:rsid w:val="004A1F95"/>
    <w:rsid w:val="004A27A6"/>
    <w:rsid w:val="004A2A22"/>
    <w:rsid w:val="004A2AD0"/>
    <w:rsid w:val="004A2AE8"/>
    <w:rsid w:val="004A3C29"/>
    <w:rsid w:val="004A3DF5"/>
    <w:rsid w:val="004A4535"/>
    <w:rsid w:val="004A4572"/>
    <w:rsid w:val="004A501E"/>
    <w:rsid w:val="004A5823"/>
    <w:rsid w:val="004A5EA3"/>
    <w:rsid w:val="004A6637"/>
    <w:rsid w:val="004A6B20"/>
    <w:rsid w:val="004A6D76"/>
    <w:rsid w:val="004A6E7F"/>
    <w:rsid w:val="004A7267"/>
    <w:rsid w:val="004A72F5"/>
    <w:rsid w:val="004A7382"/>
    <w:rsid w:val="004A739C"/>
    <w:rsid w:val="004A749B"/>
    <w:rsid w:val="004A7A77"/>
    <w:rsid w:val="004A7E9C"/>
    <w:rsid w:val="004B0191"/>
    <w:rsid w:val="004B03AF"/>
    <w:rsid w:val="004B0ACF"/>
    <w:rsid w:val="004B10F5"/>
    <w:rsid w:val="004B1196"/>
    <w:rsid w:val="004B1669"/>
    <w:rsid w:val="004B17BA"/>
    <w:rsid w:val="004B1B22"/>
    <w:rsid w:val="004B2096"/>
    <w:rsid w:val="004B25D8"/>
    <w:rsid w:val="004B26DA"/>
    <w:rsid w:val="004B2DC6"/>
    <w:rsid w:val="004B300B"/>
    <w:rsid w:val="004B34FB"/>
    <w:rsid w:val="004B3560"/>
    <w:rsid w:val="004B3A4C"/>
    <w:rsid w:val="004B3FE9"/>
    <w:rsid w:val="004B3FF7"/>
    <w:rsid w:val="004B49C2"/>
    <w:rsid w:val="004B5163"/>
    <w:rsid w:val="004B5891"/>
    <w:rsid w:val="004B594A"/>
    <w:rsid w:val="004B5F67"/>
    <w:rsid w:val="004B68AE"/>
    <w:rsid w:val="004B6C8C"/>
    <w:rsid w:val="004B70E5"/>
    <w:rsid w:val="004B7A67"/>
    <w:rsid w:val="004B7E61"/>
    <w:rsid w:val="004C0409"/>
    <w:rsid w:val="004C047A"/>
    <w:rsid w:val="004C0580"/>
    <w:rsid w:val="004C0661"/>
    <w:rsid w:val="004C07F1"/>
    <w:rsid w:val="004C08DC"/>
    <w:rsid w:val="004C0993"/>
    <w:rsid w:val="004C0C32"/>
    <w:rsid w:val="004C0D9D"/>
    <w:rsid w:val="004C1BC3"/>
    <w:rsid w:val="004C1E37"/>
    <w:rsid w:val="004C22DA"/>
    <w:rsid w:val="004C2D2E"/>
    <w:rsid w:val="004C33A7"/>
    <w:rsid w:val="004C3872"/>
    <w:rsid w:val="004C391D"/>
    <w:rsid w:val="004C3974"/>
    <w:rsid w:val="004C458E"/>
    <w:rsid w:val="004C480E"/>
    <w:rsid w:val="004C670F"/>
    <w:rsid w:val="004C7360"/>
    <w:rsid w:val="004C791B"/>
    <w:rsid w:val="004C7A60"/>
    <w:rsid w:val="004C7EA8"/>
    <w:rsid w:val="004D07F5"/>
    <w:rsid w:val="004D12B4"/>
    <w:rsid w:val="004D1AE2"/>
    <w:rsid w:val="004D1B64"/>
    <w:rsid w:val="004D1BEB"/>
    <w:rsid w:val="004D2546"/>
    <w:rsid w:val="004D3180"/>
    <w:rsid w:val="004D37E3"/>
    <w:rsid w:val="004D3BE8"/>
    <w:rsid w:val="004D41AA"/>
    <w:rsid w:val="004D444B"/>
    <w:rsid w:val="004D4549"/>
    <w:rsid w:val="004D4699"/>
    <w:rsid w:val="004D4E11"/>
    <w:rsid w:val="004D52FC"/>
    <w:rsid w:val="004D55C7"/>
    <w:rsid w:val="004D57ED"/>
    <w:rsid w:val="004D5D8A"/>
    <w:rsid w:val="004D5F5F"/>
    <w:rsid w:val="004D6133"/>
    <w:rsid w:val="004D6755"/>
    <w:rsid w:val="004D6791"/>
    <w:rsid w:val="004D69CD"/>
    <w:rsid w:val="004D7A11"/>
    <w:rsid w:val="004E02F7"/>
    <w:rsid w:val="004E0E5D"/>
    <w:rsid w:val="004E15FD"/>
    <w:rsid w:val="004E161D"/>
    <w:rsid w:val="004E1938"/>
    <w:rsid w:val="004E23FA"/>
    <w:rsid w:val="004E24CB"/>
    <w:rsid w:val="004E28D2"/>
    <w:rsid w:val="004E2B2C"/>
    <w:rsid w:val="004E3867"/>
    <w:rsid w:val="004E3EEB"/>
    <w:rsid w:val="004E3FCD"/>
    <w:rsid w:val="004E409C"/>
    <w:rsid w:val="004E40BC"/>
    <w:rsid w:val="004E40C3"/>
    <w:rsid w:val="004E4691"/>
    <w:rsid w:val="004E4CA1"/>
    <w:rsid w:val="004E57FD"/>
    <w:rsid w:val="004E5A32"/>
    <w:rsid w:val="004E62EB"/>
    <w:rsid w:val="004E6769"/>
    <w:rsid w:val="004E6E57"/>
    <w:rsid w:val="004F0E55"/>
    <w:rsid w:val="004F10F7"/>
    <w:rsid w:val="004F117F"/>
    <w:rsid w:val="004F11D2"/>
    <w:rsid w:val="004F151A"/>
    <w:rsid w:val="004F21E7"/>
    <w:rsid w:val="004F245A"/>
    <w:rsid w:val="004F290D"/>
    <w:rsid w:val="004F3955"/>
    <w:rsid w:val="004F3A67"/>
    <w:rsid w:val="004F3B4B"/>
    <w:rsid w:val="004F4740"/>
    <w:rsid w:val="004F47FF"/>
    <w:rsid w:val="004F4F24"/>
    <w:rsid w:val="004F4FC3"/>
    <w:rsid w:val="004F5111"/>
    <w:rsid w:val="004F601D"/>
    <w:rsid w:val="004F632B"/>
    <w:rsid w:val="004F6CEF"/>
    <w:rsid w:val="004F7494"/>
    <w:rsid w:val="004F7DA5"/>
    <w:rsid w:val="004F7FF1"/>
    <w:rsid w:val="0050035C"/>
    <w:rsid w:val="00500525"/>
    <w:rsid w:val="00500925"/>
    <w:rsid w:val="005009A2"/>
    <w:rsid w:val="00500DDC"/>
    <w:rsid w:val="00500F33"/>
    <w:rsid w:val="005022AC"/>
    <w:rsid w:val="0050255E"/>
    <w:rsid w:val="00502B24"/>
    <w:rsid w:val="00502FC8"/>
    <w:rsid w:val="0050353E"/>
    <w:rsid w:val="00503F59"/>
    <w:rsid w:val="00503F66"/>
    <w:rsid w:val="00504135"/>
    <w:rsid w:val="0050473E"/>
    <w:rsid w:val="005048D5"/>
    <w:rsid w:val="005049A9"/>
    <w:rsid w:val="00505299"/>
    <w:rsid w:val="005055DA"/>
    <w:rsid w:val="00505B51"/>
    <w:rsid w:val="00505BA1"/>
    <w:rsid w:val="00506CBB"/>
    <w:rsid w:val="0050774B"/>
    <w:rsid w:val="005077EB"/>
    <w:rsid w:val="00507929"/>
    <w:rsid w:val="00507D7F"/>
    <w:rsid w:val="00507E6C"/>
    <w:rsid w:val="00507FB6"/>
    <w:rsid w:val="005106F4"/>
    <w:rsid w:val="0051070D"/>
    <w:rsid w:val="0051183A"/>
    <w:rsid w:val="00512048"/>
    <w:rsid w:val="00513510"/>
    <w:rsid w:val="005135B5"/>
    <w:rsid w:val="00513600"/>
    <w:rsid w:val="00513C74"/>
    <w:rsid w:val="00514009"/>
    <w:rsid w:val="005143B3"/>
    <w:rsid w:val="00514AF2"/>
    <w:rsid w:val="00514E94"/>
    <w:rsid w:val="00515764"/>
    <w:rsid w:val="00515C0F"/>
    <w:rsid w:val="005160C8"/>
    <w:rsid w:val="00516612"/>
    <w:rsid w:val="00516C3B"/>
    <w:rsid w:val="00516C8C"/>
    <w:rsid w:val="00516F23"/>
    <w:rsid w:val="0051726E"/>
    <w:rsid w:val="005174B2"/>
    <w:rsid w:val="005179D9"/>
    <w:rsid w:val="00517E31"/>
    <w:rsid w:val="00517E41"/>
    <w:rsid w:val="00517EF4"/>
    <w:rsid w:val="00520010"/>
    <w:rsid w:val="0052002A"/>
    <w:rsid w:val="00520DC4"/>
    <w:rsid w:val="0052100A"/>
    <w:rsid w:val="005212D6"/>
    <w:rsid w:val="00522842"/>
    <w:rsid w:val="00522F4C"/>
    <w:rsid w:val="00523159"/>
    <w:rsid w:val="005231BA"/>
    <w:rsid w:val="00523F7C"/>
    <w:rsid w:val="00524482"/>
    <w:rsid w:val="0052467D"/>
    <w:rsid w:val="005248E2"/>
    <w:rsid w:val="0052494D"/>
    <w:rsid w:val="00525730"/>
    <w:rsid w:val="00525776"/>
    <w:rsid w:val="00525BF7"/>
    <w:rsid w:val="00525CEB"/>
    <w:rsid w:val="005260C4"/>
    <w:rsid w:val="005262AF"/>
    <w:rsid w:val="005265EC"/>
    <w:rsid w:val="00526CA6"/>
    <w:rsid w:val="00527115"/>
    <w:rsid w:val="00527282"/>
    <w:rsid w:val="00527F59"/>
    <w:rsid w:val="005304D1"/>
    <w:rsid w:val="00530D76"/>
    <w:rsid w:val="00530F8A"/>
    <w:rsid w:val="005313B4"/>
    <w:rsid w:val="00531C87"/>
    <w:rsid w:val="00532405"/>
    <w:rsid w:val="00532855"/>
    <w:rsid w:val="005339D7"/>
    <w:rsid w:val="00534481"/>
    <w:rsid w:val="00535574"/>
    <w:rsid w:val="00535BB4"/>
    <w:rsid w:val="005362AF"/>
    <w:rsid w:val="00536A64"/>
    <w:rsid w:val="00536D5C"/>
    <w:rsid w:val="00536D81"/>
    <w:rsid w:val="005371B9"/>
    <w:rsid w:val="00537280"/>
    <w:rsid w:val="005373C8"/>
    <w:rsid w:val="0053765F"/>
    <w:rsid w:val="00537BB9"/>
    <w:rsid w:val="0054019D"/>
    <w:rsid w:val="005408BD"/>
    <w:rsid w:val="00540E1C"/>
    <w:rsid w:val="0054120D"/>
    <w:rsid w:val="00541494"/>
    <w:rsid w:val="00541572"/>
    <w:rsid w:val="00541B15"/>
    <w:rsid w:val="00541D64"/>
    <w:rsid w:val="00541F46"/>
    <w:rsid w:val="005425BD"/>
    <w:rsid w:val="00542654"/>
    <w:rsid w:val="005426B1"/>
    <w:rsid w:val="00542ADC"/>
    <w:rsid w:val="00542E2B"/>
    <w:rsid w:val="00543013"/>
    <w:rsid w:val="005432CC"/>
    <w:rsid w:val="00543644"/>
    <w:rsid w:val="005437A7"/>
    <w:rsid w:val="00543FBC"/>
    <w:rsid w:val="005440EA"/>
    <w:rsid w:val="00544BE1"/>
    <w:rsid w:val="00544DC7"/>
    <w:rsid w:val="005456B5"/>
    <w:rsid w:val="00545E0D"/>
    <w:rsid w:val="00546716"/>
    <w:rsid w:val="0054697F"/>
    <w:rsid w:val="00546E34"/>
    <w:rsid w:val="005478C4"/>
    <w:rsid w:val="005479EF"/>
    <w:rsid w:val="00547DA1"/>
    <w:rsid w:val="00547E2E"/>
    <w:rsid w:val="0055041E"/>
    <w:rsid w:val="00550CD7"/>
    <w:rsid w:val="005511A2"/>
    <w:rsid w:val="005512B0"/>
    <w:rsid w:val="005512DF"/>
    <w:rsid w:val="00551A09"/>
    <w:rsid w:val="00552323"/>
    <w:rsid w:val="00553F1B"/>
    <w:rsid w:val="005543D3"/>
    <w:rsid w:val="00554BEC"/>
    <w:rsid w:val="00554DCA"/>
    <w:rsid w:val="00554FF4"/>
    <w:rsid w:val="005550B7"/>
    <w:rsid w:val="0055510B"/>
    <w:rsid w:val="005551E9"/>
    <w:rsid w:val="005557B4"/>
    <w:rsid w:val="0055582B"/>
    <w:rsid w:val="005559BF"/>
    <w:rsid w:val="00555A39"/>
    <w:rsid w:val="00555B3B"/>
    <w:rsid w:val="00556027"/>
    <w:rsid w:val="00557027"/>
    <w:rsid w:val="005579E4"/>
    <w:rsid w:val="00557DAD"/>
    <w:rsid w:val="00560516"/>
    <w:rsid w:val="005605F1"/>
    <w:rsid w:val="005613C6"/>
    <w:rsid w:val="005614F1"/>
    <w:rsid w:val="005615C1"/>
    <w:rsid w:val="00561881"/>
    <w:rsid w:val="005619E0"/>
    <w:rsid w:val="00561B72"/>
    <w:rsid w:val="00562C20"/>
    <w:rsid w:val="00562CD7"/>
    <w:rsid w:val="00562D47"/>
    <w:rsid w:val="005632C8"/>
    <w:rsid w:val="00563307"/>
    <w:rsid w:val="0056380A"/>
    <w:rsid w:val="00563D6B"/>
    <w:rsid w:val="005645D6"/>
    <w:rsid w:val="00564BBE"/>
    <w:rsid w:val="00564FF3"/>
    <w:rsid w:val="00565B7C"/>
    <w:rsid w:val="00566746"/>
    <w:rsid w:val="00566869"/>
    <w:rsid w:val="00566995"/>
    <w:rsid w:val="00566D87"/>
    <w:rsid w:val="00567276"/>
    <w:rsid w:val="005676C7"/>
    <w:rsid w:val="00567EF1"/>
    <w:rsid w:val="005700C0"/>
    <w:rsid w:val="005703D0"/>
    <w:rsid w:val="00570496"/>
    <w:rsid w:val="00570B2B"/>
    <w:rsid w:val="0057113D"/>
    <w:rsid w:val="00571B82"/>
    <w:rsid w:val="00572BE9"/>
    <w:rsid w:val="00572D60"/>
    <w:rsid w:val="005733C8"/>
    <w:rsid w:val="00573E92"/>
    <w:rsid w:val="00574096"/>
    <w:rsid w:val="0057423D"/>
    <w:rsid w:val="00574582"/>
    <w:rsid w:val="00574F6A"/>
    <w:rsid w:val="00574FB3"/>
    <w:rsid w:val="00576F70"/>
    <w:rsid w:val="00576F74"/>
    <w:rsid w:val="00577477"/>
    <w:rsid w:val="00577921"/>
    <w:rsid w:val="005807D5"/>
    <w:rsid w:val="00581179"/>
    <w:rsid w:val="005827FE"/>
    <w:rsid w:val="00582EAD"/>
    <w:rsid w:val="005837D6"/>
    <w:rsid w:val="00583989"/>
    <w:rsid w:val="00583CD5"/>
    <w:rsid w:val="00583D98"/>
    <w:rsid w:val="0058441A"/>
    <w:rsid w:val="005845B1"/>
    <w:rsid w:val="00584605"/>
    <w:rsid w:val="00584940"/>
    <w:rsid w:val="00584C2D"/>
    <w:rsid w:val="005855D9"/>
    <w:rsid w:val="00585D8C"/>
    <w:rsid w:val="00586EBC"/>
    <w:rsid w:val="00587132"/>
    <w:rsid w:val="00587E3A"/>
    <w:rsid w:val="0059051B"/>
    <w:rsid w:val="005908A1"/>
    <w:rsid w:val="00590EC1"/>
    <w:rsid w:val="00591133"/>
    <w:rsid w:val="005914D7"/>
    <w:rsid w:val="0059184F"/>
    <w:rsid w:val="0059209E"/>
    <w:rsid w:val="005920EE"/>
    <w:rsid w:val="0059263C"/>
    <w:rsid w:val="00592654"/>
    <w:rsid w:val="00592CD7"/>
    <w:rsid w:val="00593331"/>
    <w:rsid w:val="00593DA2"/>
    <w:rsid w:val="00593E4C"/>
    <w:rsid w:val="0059409A"/>
    <w:rsid w:val="005944FC"/>
    <w:rsid w:val="005948CA"/>
    <w:rsid w:val="00594AB1"/>
    <w:rsid w:val="005965C4"/>
    <w:rsid w:val="005969F7"/>
    <w:rsid w:val="00596B9F"/>
    <w:rsid w:val="00596BE3"/>
    <w:rsid w:val="00597028"/>
    <w:rsid w:val="005973F0"/>
    <w:rsid w:val="005975D1"/>
    <w:rsid w:val="005978DA"/>
    <w:rsid w:val="00597B3E"/>
    <w:rsid w:val="005A035F"/>
    <w:rsid w:val="005A099C"/>
    <w:rsid w:val="005A0F71"/>
    <w:rsid w:val="005A1446"/>
    <w:rsid w:val="005A1A11"/>
    <w:rsid w:val="005A344B"/>
    <w:rsid w:val="005A3512"/>
    <w:rsid w:val="005A3CB5"/>
    <w:rsid w:val="005A3F69"/>
    <w:rsid w:val="005A4650"/>
    <w:rsid w:val="005A47CF"/>
    <w:rsid w:val="005A54DC"/>
    <w:rsid w:val="005A5D1E"/>
    <w:rsid w:val="005A65F5"/>
    <w:rsid w:val="005A70B3"/>
    <w:rsid w:val="005B03BD"/>
    <w:rsid w:val="005B0556"/>
    <w:rsid w:val="005B0799"/>
    <w:rsid w:val="005B0C01"/>
    <w:rsid w:val="005B0CC3"/>
    <w:rsid w:val="005B0FEA"/>
    <w:rsid w:val="005B15A5"/>
    <w:rsid w:val="005B15D2"/>
    <w:rsid w:val="005B1A88"/>
    <w:rsid w:val="005B2ABF"/>
    <w:rsid w:val="005B2B08"/>
    <w:rsid w:val="005B3F63"/>
    <w:rsid w:val="005B4E0D"/>
    <w:rsid w:val="005B50C9"/>
    <w:rsid w:val="005B5AB3"/>
    <w:rsid w:val="005B6351"/>
    <w:rsid w:val="005B66C9"/>
    <w:rsid w:val="005B68A1"/>
    <w:rsid w:val="005B6DF4"/>
    <w:rsid w:val="005B7419"/>
    <w:rsid w:val="005B76B9"/>
    <w:rsid w:val="005B7E9B"/>
    <w:rsid w:val="005C061C"/>
    <w:rsid w:val="005C0E47"/>
    <w:rsid w:val="005C142C"/>
    <w:rsid w:val="005C1EDD"/>
    <w:rsid w:val="005C1F7D"/>
    <w:rsid w:val="005C2B13"/>
    <w:rsid w:val="005C2BFC"/>
    <w:rsid w:val="005C31F3"/>
    <w:rsid w:val="005C39FD"/>
    <w:rsid w:val="005C3A8A"/>
    <w:rsid w:val="005C4BD3"/>
    <w:rsid w:val="005C4C1B"/>
    <w:rsid w:val="005C4DBD"/>
    <w:rsid w:val="005C4F93"/>
    <w:rsid w:val="005C4FFB"/>
    <w:rsid w:val="005C5339"/>
    <w:rsid w:val="005C552D"/>
    <w:rsid w:val="005C609B"/>
    <w:rsid w:val="005C61A5"/>
    <w:rsid w:val="005C61FD"/>
    <w:rsid w:val="005C656B"/>
    <w:rsid w:val="005C6706"/>
    <w:rsid w:val="005C6B64"/>
    <w:rsid w:val="005C6E12"/>
    <w:rsid w:val="005C75C0"/>
    <w:rsid w:val="005C76AD"/>
    <w:rsid w:val="005C794A"/>
    <w:rsid w:val="005C79C8"/>
    <w:rsid w:val="005C7BF7"/>
    <w:rsid w:val="005C7F71"/>
    <w:rsid w:val="005C7FBE"/>
    <w:rsid w:val="005D018C"/>
    <w:rsid w:val="005D0412"/>
    <w:rsid w:val="005D052C"/>
    <w:rsid w:val="005D0C77"/>
    <w:rsid w:val="005D0D31"/>
    <w:rsid w:val="005D105D"/>
    <w:rsid w:val="005D1DA6"/>
    <w:rsid w:val="005D1F84"/>
    <w:rsid w:val="005D29DA"/>
    <w:rsid w:val="005D2B31"/>
    <w:rsid w:val="005D33C1"/>
    <w:rsid w:val="005D3636"/>
    <w:rsid w:val="005D3889"/>
    <w:rsid w:val="005D38B0"/>
    <w:rsid w:val="005D3ED9"/>
    <w:rsid w:val="005D4591"/>
    <w:rsid w:val="005D4A72"/>
    <w:rsid w:val="005D4DB9"/>
    <w:rsid w:val="005D5782"/>
    <w:rsid w:val="005D57F6"/>
    <w:rsid w:val="005D65D7"/>
    <w:rsid w:val="005D6B38"/>
    <w:rsid w:val="005D6D7D"/>
    <w:rsid w:val="005D6EE5"/>
    <w:rsid w:val="005D7750"/>
    <w:rsid w:val="005D794A"/>
    <w:rsid w:val="005D7A53"/>
    <w:rsid w:val="005E047A"/>
    <w:rsid w:val="005E1022"/>
    <w:rsid w:val="005E12C5"/>
    <w:rsid w:val="005E1417"/>
    <w:rsid w:val="005E146E"/>
    <w:rsid w:val="005E1A80"/>
    <w:rsid w:val="005E2026"/>
    <w:rsid w:val="005E295D"/>
    <w:rsid w:val="005E2F0C"/>
    <w:rsid w:val="005E35E0"/>
    <w:rsid w:val="005E37CB"/>
    <w:rsid w:val="005E3DDD"/>
    <w:rsid w:val="005E40F5"/>
    <w:rsid w:val="005E4232"/>
    <w:rsid w:val="005E52F5"/>
    <w:rsid w:val="005E56E7"/>
    <w:rsid w:val="005E5D69"/>
    <w:rsid w:val="005E6B45"/>
    <w:rsid w:val="005E7611"/>
    <w:rsid w:val="005E7C8E"/>
    <w:rsid w:val="005F03E4"/>
    <w:rsid w:val="005F0628"/>
    <w:rsid w:val="005F0788"/>
    <w:rsid w:val="005F0C01"/>
    <w:rsid w:val="005F0E07"/>
    <w:rsid w:val="005F156A"/>
    <w:rsid w:val="005F1571"/>
    <w:rsid w:val="005F294F"/>
    <w:rsid w:val="005F297A"/>
    <w:rsid w:val="005F3759"/>
    <w:rsid w:val="005F3776"/>
    <w:rsid w:val="005F3909"/>
    <w:rsid w:val="005F3CDE"/>
    <w:rsid w:val="005F4075"/>
    <w:rsid w:val="005F42E4"/>
    <w:rsid w:val="005F4D2B"/>
    <w:rsid w:val="005F4EAE"/>
    <w:rsid w:val="005F57D5"/>
    <w:rsid w:val="005F5E14"/>
    <w:rsid w:val="005F60C3"/>
    <w:rsid w:val="005F61DA"/>
    <w:rsid w:val="005F6C68"/>
    <w:rsid w:val="005F6EC5"/>
    <w:rsid w:val="005F6FB5"/>
    <w:rsid w:val="005F7753"/>
    <w:rsid w:val="005F7999"/>
    <w:rsid w:val="006000B2"/>
    <w:rsid w:val="00600224"/>
    <w:rsid w:val="00600948"/>
    <w:rsid w:val="00600FD5"/>
    <w:rsid w:val="0060102F"/>
    <w:rsid w:val="00601A9E"/>
    <w:rsid w:val="00601AF4"/>
    <w:rsid w:val="00602335"/>
    <w:rsid w:val="0060237A"/>
    <w:rsid w:val="00602391"/>
    <w:rsid w:val="0060275A"/>
    <w:rsid w:val="00602F91"/>
    <w:rsid w:val="006032A3"/>
    <w:rsid w:val="006038A0"/>
    <w:rsid w:val="006041CD"/>
    <w:rsid w:val="00604804"/>
    <w:rsid w:val="006048DE"/>
    <w:rsid w:val="00604A75"/>
    <w:rsid w:val="006054F1"/>
    <w:rsid w:val="006055D3"/>
    <w:rsid w:val="006067E3"/>
    <w:rsid w:val="006078D8"/>
    <w:rsid w:val="00607D83"/>
    <w:rsid w:val="00607E66"/>
    <w:rsid w:val="006100BB"/>
    <w:rsid w:val="00611374"/>
    <w:rsid w:val="0061199F"/>
    <w:rsid w:val="006119D2"/>
    <w:rsid w:val="00611C6B"/>
    <w:rsid w:val="0061251B"/>
    <w:rsid w:val="00612ACA"/>
    <w:rsid w:val="00612B46"/>
    <w:rsid w:val="0061321E"/>
    <w:rsid w:val="006134C0"/>
    <w:rsid w:val="00613713"/>
    <w:rsid w:val="006137BC"/>
    <w:rsid w:val="00613ABF"/>
    <w:rsid w:val="00613D2F"/>
    <w:rsid w:val="00614251"/>
    <w:rsid w:val="0061497D"/>
    <w:rsid w:val="00614C58"/>
    <w:rsid w:val="00615310"/>
    <w:rsid w:val="006157E1"/>
    <w:rsid w:val="00615F76"/>
    <w:rsid w:val="00616318"/>
    <w:rsid w:val="00616646"/>
    <w:rsid w:val="00616B5C"/>
    <w:rsid w:val="00616DE2"/>
    <w:rsid w:val="00617028"/>
    <w:rsid w:val="00617937"/>
    <w:rsid w:val="00617DA3"/>
    <w:rsid w:val="00617F5E"/>
    <w:rsid w:val="00617F7C"/>
    <w:rsid w:val="006203E9"/>
    <w:rsid w:val="0062054F"/>
    <w:rsid w:val="00620DA2"/>
    <w:rsid w:val="006210BA"/>
    <w:rsid w:val="00621C60"/>
    <w:rsid w:val="00621CFE"/>
    <w:rsid w:val="006225F2"/>
    <w:rsid w:val="006228BF"/>
    <w:rsid w:val="00622AF0"/>
    <w:rsid w:val="00623123"/>
    <w:rsid w:val="00623748"/>
    <w:rsid w:val="00623C10"/>
    <w:rsid w:val="006244FF"/>
    <w:rsid w:val="006246A1"/>
    <w:rsid w:val="00624A65"/>
    <w:rsid w:val="00624F02"/>
    <w:rsid w:val="00624FDD"/>
    <w:rsid w:val="00625855"/>
    <w:rsid w:val="00625EDD"/>
    <w:rsid w:val="0062616E"/>
    <w:rsid w:val="00626E33"/>
    <w:rsid w:val="00626F48"/>
    <w:rsid w:val="0063003B"/>
    <w:rsid w:val="0063043F"/>
    <w:rsid w:val="0063044F"/>
    <w:rsid w:val="006307AA"/>
    <w:rsid w:val="00630878"/>
    <w:rsid w:val="006309C1"/>
    <w:rsid w:val="00630AFE"/>
    <w:rsid w:val="00630EAC"/>
    <w:rsid w:val="006312F5"/>
    <w:rsid w:val="00631AA0"/>
    <w:rsid w:val="00631D8E"/>
    <w:rsid w:val="00632049"/>
    <w:rsid w:val="0063211B"/>
    <w:rsid w:val="00632713"/>
    <w:rsid w:val="00632A21"/>
    <w:rsid w:val="00632CCE"/>
    <w:rsid w:val="00632E4E"/>
    <w:rsid w:val="006337C8"/>
    <w:rsid w:val="006338DE"/>
    <w:rsid w:val="0063393D"/>
    <w:rsid w:val="00633EE1"/>
    <w:rsid w:val="00634265"/>
    <w:rsid w:val="00634571"/>
    <w:rsid w:val="00634D18"/>
    <w:rsid w:val="00634E7C"/>
    <w:rsid w:val="0063510E"/>
    <w:rsid w:val="00635202"/>
    <w:rsid w:val="00635638"/>
    <w:rsid w:val="00635816"/>
    <w:rsid w:val="006366B9"/>
    <w:rsid w:val="00636D0B"/>
    <w:rsid w:val="006379D8"/>
    <w:rsid w:val="00637A59"/>
    <w:rsid w:val="00637BA0"/>
    <w:rsid w:val="00637C94"/>
    <w:rsid w:val="00637D6B"/>
    <w:rsid w:val="00637D76"/>
    <w:rsid w:val="0064094E"/>
    <w:rsid w:val="00640B6E"/>
    <w:rsid w:val="00640C75"/>
    <w:rsid w:val="0064181A"/>
    <w:rsid w:val="00641937"/>
    <w:rsid w:val="006426C9"/>
    <w:rsid w:val="0064308A"/>
    <w:rsid w:val="0064316C"/>
    <w:rsid w:val="0064342E"/>
    <w:rsid w:val="00643939"/>
    <w:rsid w:val="0064432C"/>
    <w:rsid w:val="00644B21"/>
    <w:rsid w:val="00644B60"/>
    <w:rsid w:val="00644D9A"/>
    <w:rsid w:val="00644F4E"/>
    <w:rsid w:val="0064513E"/>
    <w:rsid w:val="006454AA"/>
    <w:rsid w:val="00646B2B"/>
    <w:rsid w:val="00647406"/>
    <w:rsid w:val="0064790D"/>
    <w:rsid w:val="00647ED5"/>
    <w:rsid w:val="006500A6"/>
    <w:rsid w:val="006502D0"/>
    <w:rsid w:val="00650472"/>
    <w:rsid w:val="00650583"/>
    <w:rsid w:val="0065066B"/>
    <w:rsid w:val="00650B39"/>
    <w:rsid w:val="006515A6"/>
    <w:rsid w:val="00652384"/>
    <w:rsid w:val="00652650"/>
    <w:rsid w:val="006528A1"/>
    <w:rsid w:val="00653710"/>
    <w:rsid w:val="00653F26"/>
    <w:rsid w:val="006541B1"/>
    <w:rsid w:val="00655412"/>
    <w:rsid w:val="00655973"/>
    <w:rsid w:val="00656286"/>
    <w:rsid w:val="0065675C"/>
    <w:rsid w:val="00656D71"/>
    <w:rsid w:val="006570C5"/>
    <w:rsid w:val="006570D0"/>
    <w:rsid w:val="00657580"/>
    <w:rsid w:val="00661460"/>
    <w:rsid w:val="006615C5"/>
    <w:rsid w:val="00661782"/>
    <w:rsid w:val="006618EA"/>
    <w:rsid w:val="00661ABA"/>
    <w:rsid w:val="00661EE0"/>
    <w:rsid w:val="006636F6"/>
    <w:rsid w:val="00663A08"/>
    <w:rsid w:val="00663DEB"/>
    <w:rsid w:val="00664083"/>
    <w:rsid w:val="00664384"/>
    <w:rsid w:val="0066469B"/>
    <w:rsid w:val="0066486E"/>
    <w:rsid w:val="00664E4B"/>
    <w:rsid w:val="00664EBA"/>
    <w:rsid w:val="00665271"/>
    <w:rsid w:val="0066533F"/>
    <w:rsid w:val="00665619"/>
    <w:rsid w:val="00665E4E"/>
    <w:rsid w:val="006667AA"/>
    <w:rsid w:val="0066684D"/>
    <w:rsid w:val="006675BB"/>
    <w:rsid w:val="0066761F"/>
    <w:rsid w:val="006676B3"/>
    <w:rsid w:val="0066792E"/>
    <w:rsid w:val="006706E1"/>
    <w:rsid w:val="00670DFF"/>
    <w:rsid w:val="00670EEA"/>
    <w:rsid w:val="0067114E"/>
    <w:rsid w:val="00671968"/>
    <w:rsid w:val="00672353"/>
    <w:rsid w:val="006723B9"/>
    <w:rsid w:val="006727F9"/>
    <w:rsid w:val="006732A5"/>
    <w:rsid w:val="006736CC"/>
    <w:rsid w:val="006739CC"/>
    <w:rsid w:val="00674A40"/>
    <w:rsid w:val="00675B63"/>
    <w:rsid w:val="00675B7F"/>
    <w:rsid w:val="00676C17"/>
    <w:rsid w:val="00676D40"/>
    <w:rsid w:val="00676DBF"/>
    <w:rsid w:val="00676F41"/>
    <w:rsid w:val="006772B4"/>
    <w:rsid w:val="00680261"/>
    <w:rsid w:val="00680305"/>
    <w:rsid w:val="00680912"/>
    <w:rsid w:val="00681792"/>
    <w:rsid w:val="006819D8"/>
    <w:rsid w:val="00681A74"/>
    <w:rsid w:val="00681B4F"/>
    <w:rsid w:val="00681B65"/>
    <w:rsid w:val="00682145"/>
    <w:rsid w:val="006829AC"/>
    <w:rsid w:val="00683B30"/>
    <w:rsid w:val="006840D7"/>
    <w:rsid w:val="00684487"/>
    <w:rsid w:val="0068509C"/>
    <w:rsid w:val="006850C2"/>
    <w:rsid w:val="006850D1"/>
    <w:rsid w:val="006850DC"/>
    <w:rsid w:val="0068556A"/>
    <w:rsid w:val="0068574E"/>
    <w:rsid w:val="00685B40"/>
    <w:rsid w:val="00686145"/>
    <w:rsid w:val="006863B2"/>
    <w:rsid w:val="0068686F"/>
    <w:rsid w:val="00686C5D"/>
    <w:rsid w:val="0068724F"/>
    <w:rsid w:val="006873F2"/>
    <w:rsid w:val="00687CCE"/>
    <w:rsid w:val="00687D02"/>
    <w:rsid w:val="006901A0"/>
    <w:rsid w:val="00690276"/>
    <w:rsid w:val="006904F8"/>
    <w:rsid w:val="00690865"/>
    <w:rsid w:val="00690A44"/>
    <w:rsid w:val="00690C7C"/>
    <w:rsid w:val="00690CC8"/>
    <w:rsid w:val="00690FAB"/>
    <w:rsid w:val="006918E3"/>
    <w:rsid w:val="00691DD0"/>
    <w:rsid w:val="006926F7"/>
    <w:rsid w:val="00692B1A"/>
    <w:rsid w:val="00692FE0"/>
    <w:rsid w:val="006930BF"/>
    <w:rsid w:val="00693636"/>
    <w:rsid w:val="00694529"/>
    <w:rsid w:val="006951E6"/>
    <w:rsid w:val="00695798"/>
    <w:rsid w:val="00695A5C"/>
    <w:rsid w:val="00696752"/>
    <w:rsid w:val="0069683E"/>
    <w:rsid w:val="0069767B"/>
    <w:rsid w:val="00697D48"/>
    <w:rsid w:val="00697ED4"/>
    <w:rsid w:val="00697F25"/>
    <w:rsid w:val="006A00F1"/>
    <w:rsid w:val="006A09BD"/>
    <w:rsid w:val="006A0C11"/>
    <w:rsid w:val="006A0D9B"/>
    <w:rsid w:val="006A0F76"/>
    <w:rsid w:val="006A12FE"/>
    <w:rsid w:val="006A1933"/>
    <w:rsid w:val="006A2EBA"/>
    <w:rsid w:val="006A465D"/>
    <w:rsid w:val="006A59B6"/>
    <w:rsid w:val="006A5D01"/>
    <w:rsid w:val="006A6289"/>
    <w:rsid w:val="006A648F"/>
    <w:rsid w:val="006A6652"/>
    <w:rsid w:val="006A68DF"/>
    <w:rsid w:val="006A6EDC"/>
    <w:rsid w:val="006A7360"/>
    <w:rsid w:val="006A78B5"/>
    <w:rsid w:val="006A7FBF"/>
    <w:rsid w:val="006B08A2"/>
    <w:rsid w:val="006B1268"/>
    <w:rsid w:val="006B13A4"/>
    <w:rsid w:val="006B1A4A"/>
    <w:rsid w:val="006B1D27"/>
    <w:rsid w:val="006B2165"/>
    <w:rsid w:val="006B2D43"/>
    <w:rsid w:val="006B2F70"/>
    <w:rsid w:val="006B3026"/>
    <w:rsid w:val="006B32EF"/>
    <w:rsid w:val="006B4650"/>
    <w:rsid w:val="006B489B"/>
    <w:rsid w:val="006B4D27"/>
    <w:rsid w:val="006B5052"/>
    <w:rsid w:val="006B5850"/>
    <w:rsid w:val="006B5F4E"/>
    <w:rsid w:val="006B63A3"/>
    <w:rsid w:val="006B687B"/>
    <w:rsid w:val="006B6AB9"/>
    <w:rsid w:val="006B71FA"/>
    <w:rsid w:val="006B744D"/>
    <w:rsid w:val="006B7570"/>
    <w:rsid w:val="006B75B3"/>
    <w:rsid w:val="006B7ABC"/>
    <w:rsid w:val="006B7D05"/>
    <w:rsid w:val="006C157C"/>
    <w:rsid w:val="006C16A2"/>
    <w:rsid w:val="006C1AA7"/>
    <w:rsid w:val="006C287F"/>
    <w:rsid w:val="006C2ADD"/>
    <w:rsid w:val="006C41BB"/>
    <w:rsid w:val="006C5605"/>
    <w:rsid w:val="006C5870"/>
    <w:rsid w:val="006C5AB1"/>
    <w:rsid w:val="006C6272"/>
    <w:rsid w:val="006C6832"/>
    <w:rsid w:val="006C6958"/>
    <w:rsid w:val="006C6E5C"/>
    <w:rsid w:val="006C6F86"/>
    <w:rsid w:val="006C7E12"/>
    <w:rsid w:val="006C7F32"/>
    <w:rsid w:val="006D01D5"/>
    <w:rsid w:val="006D09E4"/>
    <w:rsid w:val="006D158E"/>
    <w:rsid w:val="006D18B6"/>
    <w:rsid w:val="006D1A21"/>
    <w:rsid w:val="006D1E0D"/>
    <w:rsid w:val="006D217B"/>
    <w:rsid w:val="006D26D7"/>
    <w:rsid w:val="006D2FC3"/>
    <w:rsid w:val="006D303D"/>
    <w:rsid w:val="006D3428"/>
    <w:rsid w:val="006D35EE"/>
    <w:rsid w:val="006D3771"/>
    <w:rsid w:val="006D3EE5"/>
    <w:rsid w:val="006D44CD"/>
    <w:rsid w:val="006D4AC1"/>
    <w:rsid w:val="006D537D"/>
    <w:rsid w:val="006D53C3"/>
    <w:rsid w:val="006D566A"/>
    <w:rsid w:val="006D5850"/>
    <w:rsid w:val="006D629C"/>
    <w:rsid w:val="006D652E"/>
    <w:rsid w:val="006D663A"/>
    <w:rsid w:val="006D6B8A"/>
    <w:rsid w:val="006D6F18"/>
    <w:rsid w:val="006D6F3D"/>
    <w:rsid w:val="006D7001"/>
    <w:rsid w:val="006D7191"/>
    <w:rsid w:val="006D780C"/>
    <w:rsid w:val="006E0090"/>
    <w:rsid w:val="006E03D5"/>
    <w:rsid w:val="006E0825"/>
    <w:rsid w:val="006E199B"/>
    <w:rsid w:val="006E1C06"/>
    <w:rsid w:val="006E1C63"/>
    <w:rsid w:val="006E1CD6"/>
    <w:rsid w:val="006E236D"/>
    <w:rsid w:val="006E2998"/>
    <w:rsid w:val="006E3628"/>
    <w:rsid w:val="006E376B"/>
    <w:rsid w:val="006E379C"/>
    <w:rsid w:val="006E3E15"/>
    <w:rsid w:val="006E3E7E"/>
    <w:rsid w:val="006E3F53"/>
    <w:rsid w:val="006E3FCF"/>
    <w:rsid w:val="006E3FD5"/>
    <w:rsid w:val="006E4018"/>
    <w:rsid w:val="006E46D3"/>
    <w:rsid w:val="006E4964"/>
    <w:rsid w:val="006E5476"/>
    <w:rsid w:val="006E5BCB"/>
    <w:rsid w:val="006E62EE"/>
    <w:rsid w:val="006E7457"/>
    <w:rsid w:val="006E7891"/>
    <w:rsid w:val="006E7C13"/>
    <w:rsid w:val="006E7D57"/>
    <w:rsid w:val="006E7F49"/>
    <w:rsid w:val="006F010E"/>
    <w:rsid w:val="006F05C4"/>
    <w:rsid w:val="006F0941"/>
    <w:rsid w:val="006F1479"/>
    <w:rsid w:val="006F1CEC"/>
    <w:rsid w:val="006F1D1F"/>
    <w:rsid w:val="006F2048"/>
    <w:rsid w:val="006F23E0"/>
    <w:rsid w:val="006F2401"/>
    <w:rsid w:val="006F244E"/>
    <w:rsid w:val="006F2555"/>
    <w:rsid w:val="006F403D"/>
    <w:rsid w:val="006F434C"/>
    <w:rsid w:val="006F47DB"/>
    <w:rsid w:val="006F486D"/>
    <w:rsid w:val="006F4B09"/>
    <w:rsid w:val="006F4C70"/>
    <w:rsid w:val="006F5258"/>
    <w:rsid w:val="006F5648"/>
    <w:rsid w:val="006F5DF9"/>
    <w:rsid w:val="006F5FF6"/>
    <w:rsid w:val="006F60BC"/>
    <w:rsid w:val="006F6196"/>
    <w:rsid w:val="006F6C28"/>
    <w:rsid w:val="006F6F60"/>
    <w:rsid w:val="006F7319"/>
    <w:rsid w:val="006F74A9"/>
    <w:rsid w:val="006F7899"/>
    <w:rsid w:val="006F7EA1"/>
    <w:rsid w:val="0070001B"/>
    <w:rsid w:val="007008E1"/>
    <w:rsid w:val="00701288"/>
    <w:rsid w:val="00701441"/>
    <w:rsid w:val="00701552"/>
    <w:rsid w:val="00701CAF"/>
    <w:rsid w:val="0070220A"/>
    <w:rsid w:val="00702B28"/>
    <w:rsid w:val="007031F4"/>
    <w:rsid w:val="007031F8"/>
    <w:rsid w:val="007037BD"/>
    <w:rsid w:val="00703D3E"/>
    <w:rsid w:val="00704170"/>
    <w:rsid w:val="007049B0"/>
    <w:rsid w:val="00704D35"/>
    <w:rsid w:val="00705A15"/>
    <w:rsid w:val="00706109"/>
    <w:rsid w:val="00706317"/>
    <w:rsid w:val="0070705F"/>
    <w:rsid w:val="007077BC"/>
    <w:rsid w:val="0071058B"/>
    <w:rsid w:val="00710881"/>
    <w:rsid w:val="00710CB1"/>
    <w:rsid w:val="00710EE8"/>
    <w:rsid w:val="00710F56"/>
    <w:rsid w:val="00711241"/>
    <w:rsid w:val="00711279"/>
    <w:rsid w:val="007115CE"/>
    <w:rsid w:val="00711BC3"/>
    <w:rsid w:val="00711D36"/>
    <w:rsid w:val="00711FE6"/>
    <w:rsid w:val="00712798"/>
    <w:rsid w:val="00712A6A"/>
    <w:rsid w:val="00712C1B"/>
    <w:rsid w:val="00712F35"/>
    <w:rsid w:val="007130E9"/>
    <w:rsid w:val="00713178"/>
    <w:rsid w:val="00713299"/>
    <w:rsid w:val="007133A6"/>
    <w:rsid w:val="00713E06"/>
    <w:rsid w:val="007142EF"/>
    <w:rsid w:val="00714963"/>
    <w:rsid w:val="007150F8"/>
    <w:rsid w:val="0071589A"/>
    <w:rsid w:val="007163B5"/>
    <w:rsid w:val="007165AA"/>
    <w:rsid w:val="00716C50"/>
    <w:rsid w:val="00717096"/>
    <w:rsid w:val="007170EE"/>
    <w:rsid w:val="00717149"/>
    <w:rsid w:val="007201A8"/>
    <w:rsid w:val="0072056F"/>
    <w:rsid w:val="00720763"/>
    <w:rsid w:val="00720D49"/>
    <w:rsid w:val="00720D90"/>
    <w:rsid w:val="00720FC3"/>
    <w:rsid w:val="007210F0"/>
    <w:rsid w:val="00721301"/>
    <w:rsid w:val="007214D0"/>
    <w:rsid w:val="00721DF3"/>
    <w:rsid w:val="00721F68"/>
    <w:rsid w:val="00722205"/>
    <w:rsid w:val="007226F9"/>
    <w:rsid w:val="007227F0"/>
    <w:rsid w:val="0072357F"/>
    <w:rsid w:val="007235A4"/>
    <w:rsid w:val="00723C27"/>
    <w:rsid w:val="0072450C"/>
    <w:rsid w:val="0072454E"/>
    <w:rsid w:val="00724947"/>
    <w:rsid w:val="0072496D"/>
    <w:rsid w:val="00725250"/>
    <w:rsid w:val="0072576D"/>
    <w:rsid w:val="007258B5"/>
    <w:rsid w:val="00726D4D"/>
    <w:rsid w:val="0072737B"/>
    <w:rsid w:val="007277ED"/>
    <w:rsid w:val="0072793F"/>
    <w:rsid w:val="00730111"/>
    <w:rsid w:val="00730938"/>
    <w:rsid w:val="007309AC"/>
    <w:rsid w:val="00730D8C"/>
    <w:rsid w:val="007311F8"/>
    <w:rsid w:val="00731211"/>
    <w:rsid w:val="007315CC"/>
    <w:rsid w:val="007316EA"/>
    <w:rsid w:val="00731CFC"/>
    <w:rsid w:val="00731ECE"/>
    <w:rsid w:val="007337D5"/>
    <w:rsid w:val="007344A6"/>
    <w:rsid w:val="007344D6"/>
    <w:rsid w:val="0073455C"/>
    <w:rsid w:val="00734913"/>
    <w:rsid w:val="00734D29"/>
    <w:rsid w:val="00734EEA"/>
    <w:rsid w:val="00734FC1"/>
    <w:rsid w:val="007357ED"/>
    <w:rsid w:val="00736331"/>
    <w:rsid w:val="0073662F"/>
    <w:rsid w:val="00736FA2"/>
    <w:rsid w:val="007370F4"/>
    <w:rsid w:val="007379BB"/>
    <w:rsid w:val="007379C9"/>
    <w:rsid w:val="00737B9A"/>
    <w:rsid w:val="00737BD0"/>
    <w:rsid w:val="00741080"/>
    <w:rsid w:val="007410A5"/>
    <w:rsid w:val="0074124C"/>
    <w:rsid w:val="00741467"/>
    <w:rsid w:val="007416F6"/>
    <w:rsid w:val="0074174E"/>
    <w:rsid w:val="00741C23"/>
    <w:rsid w:val="00742107"/>
    <w:rsid w:val="00742159"/>
    <w:rsid w:val="007423CE"/>
    <w:rsid w:val="00742417"/>
    <w:rsid w:val="00743F95"/>
    <w:rsid w:val="007447EE"/>
    <w:rsid w:val="00744C15"/>
    <w:rsid w:val="007459E1"/>
    <w:rsid w:val="00745E26"/>
    <w:rsid w:val="00745EA5"/>
    <w:rsid w:val="0074626E"/>
    <w:rsid w:val="00746837"/>
    <w:rsid w:val="00746BFE"/>
    <w:rsid w:val="00746CF8"/>
    <w:rsid w:val="0074712D"/>
    <w:rsid w:val="007472AD"/>
    <w:rsid w:val="00747D9D"/>
    <w:rsid w:val="0075002C"/>
    <w:rsid w:val="00750090"/>
    <w:rsid w:val="0075015F"/>
    <w:rsid w:val="0075076C"/>
    <w:rsid w:val="00750A01"/>
    <w:rsid w:val="00750AED"/>
    <w:rsid w:val="0075137A"/>
    <w:rsid w:val="0075179F"/>
    <w:rsid w:val="00751D54"/>
    <w:rsid w:val="00751E82"/>
    <w:rsid w:val="0075203B"/>
    <w:rsid w:val="00752956"/>
    <w:rsid w:val="00752DCC"/>
    <w:rsid w:val="00752FE2"/>
    <w:rsid w:val="00753253"/>
    <w:rsid w:val="00754475"/>
    <w:rsid w:val="007545A1"/>
    <w:rsid w:val="00754A3E"/>
    <w:rsid w:val="007557BC"/>
    <w:rsid w:val="00755BD8"/>
    <w:rsid w:val="00755F6A"/>
    <w:rsid w:val="0075605E"/>
    <w:rsid w:val="00756062"/>
    <w:rsid w:val="007563A9"/>
    <w:rsid w:val="00756458"/>
    <w:rsid w:val="00756A04"/>
    <w:rsid w:val="007572F3"/>
    <w:rsid w:val="00757ADA"/>
    <w:rsid w:val="00757E4F"/>
    <w:rsid w:val="00760E14"/>
    <w:rsid w:val="00761557"/>
    <w:rsid w:val="0076170A"/>
    <w:rsid w:val="00761C3D"/>
    <w:rsid w:val="007625FE"/>
    <w:rsid w:val="00762D95"/>
    <w:rsid w:val="007631B0"/>
    <w:rsid w:val="00763668"/>
    <w:rsid w:val="007638F1"/>
    <w:rsid w:val="00763EE6"/>
    <w:rsid w:val="00763F7D"/>
    <w:rsid w:val="00765144"/>
    <w:rsid w:val="00765253"/>
    <w:rsid w:val="00765AF9"/>
    <w:rsid w:val="00765EF9"/>
    <w:rsid w:val="0076636A"/>
    <w:rsid w:val="00766384"/>
    <w:rsid w:val="0076656E"/>
    <w:rsid w:val="00766CC5"/>
    <w:rsid w:val="00767323"/>
    <w:rsid w:val="00767778"/>
    <w:rsid w:val="007700FC"/>
    <w:rsid w:val="00770DFC"/>
    <w:rsid w:val="0077163B"/>
    <w:rsid w:val="00771648"/>
    <w:rsid w:val="00771902"/>
    <w:rsid w:val="0077205F"/>
    <w:rsid w:val="007722F0"/>
    <w:rsid w:val="0077257C"/>
    <w:rsid w:val="00773243"/>
    <w:rsid w:val="00773293"/>
    <w:rsid w:val="007736D1"/>
    <w:rsid w:val="007738FD"/>
    <w:rsid w:val="00773962"/>
    <w:rsid w:val="00773A18"/>
    <w:rsid w:val="007740FA"/>
    <w:rsid w:val="00774E9A"/>
    <w:rsid w:val="007755B2"/>
    <w:rsid w:val="00775880"/>
    <w:rsid w:val="007764B9"/>
    <w:rsid w:val="007776A3"/>
    <w:rsid w:val="0077779F"/>
    <w:rsid w:val="00777A2B"/>
    <w:rsid w:val="007801B1"/>
    <w:rsid w:val="007810CA"/>
    <w:rsid w:val="007818D4"/>
    <w:rsid w:val="00781A43"/>
    <w:rsid w:val="00781D32"/>
    <w:rsid w:val="00781D7D"/>
    <w:rsid w:val="007822E4"/>
    <w:rsid w:val="00783549"/>
    <w:rsid w:val="0078385F"/>
    <w:rsid w:val="00783BDA"/>
    <w:rsid w:val="00783C66"/>
    <w:rsid w:val="0078409D"/>
    <w:rsid w:val="0078452B"/>
    <w:rsid w:val="00784635"/>
    <w:rsid w:val="007855FC"/>
    <w:rsid w:val="00785F72"/>
    <w:rsid w:val="00786654"/>
    <w:rsid w:val="00786687"/>
    <w:rsid w:val="00786B08"/>
    <w:rsid w:val="00786C57"/>
    <w:rsid w:val="00786F29"/>
    <w:rsid w:val="00790030"/>
    <w:rsid w:val="00790688"/>
    <w:rsid w:val="00790770"/>
    <w:rsid w:val="00790DF1"/>
    <w:rsid w:val="0079174D"/>
    <w:rsid w:val="007918D8"/>
    <w:rsid w:val="00791BED"/>
    <w:rsid w:val="00792139"/>
    <w:rsid w:val="007923E1"/>
    <w:rsid w:val="007936D9"/>
    <w:rsid w:val="00793A6C"/>
    <w:rsid w:val="00793DC2"/>
    <w:rsid w:val="00793EBB"/>
    <w:rsid w:val="007944AB"/>
    <w:rsid w:val="0079457E"/>
    <w:rsid w:val="007947E4"/>
    <w:rsid w:val="007948AF"/>
    <w:rsid w:val="00794A11"/>
    <w:rsid w:val="00794B55"/>
    <w:rsid w:val="00794F85"/>
    <w:rsid w:val="0079552B"/>
    <w:rsid w:val="00795A02"/>
    <w:rsid w:val="00795F95"/>
    <w:rsid w:val="0079689F"/>
    <w:rsid w:val="00796BB3"/>
    <w:rsid w:val="00797C15"/>
    <w:rsid w:val="007A01F7"/>
    <w:rsid w:val="007A0272"/>
    <w:rsid w:val="007A0B6E"/>
    <w:rsid w:val="007A1953"/>
    <w:rsid w:val="007A1D1D"/>
    <w:rsid w:val="007A1DD9"/>
    <w:rsid w:val="007A1E03"/>
    <w:rsid w:val="007A2063"/>
    <w:rsid w:val="007A30C6"/>
    <w:rsid w:val="007A35C4"/>
    <w:rsid w:val="007A3711"/>
    <w:rsid w:val="007A38BD"/>
    <w:rsid w:val="007A39F9"/>
    <w:rsid w:val="007A3C96"/>
    <w:rsid w:val="007A3D30"/>
    <w:rsid w:val="007A3D82"/>
    <w:rsid w:val="007A3E1B"/>
    <w:rsid w:val="007A3E84"/>
    <w:rsid w:val="007A4274"/>
    <w:rsid w:val="007A4796"/>
    <w:rsid w:val="007A49F0"/>
    <w:rsid w:val="007A4BF7"/>
    <w:rsid w:val="007A5A21"/>
    <w:rsid w:val="007A6104"/>
    <w:rsid w:val="007A7865"/>
    <w:rsid w:val="007A7CA4"/>
    <w:rsid w:val="007A7DD5"/>
    <w:rsid w:val="007B020F"/>
    <w:rsid w:val="007B0387"/>
    <w:rsid w:val="007B040B"/>
    <w:rsid w:val="007B0B6C"/>
    <w:rsid w:val="007B2BBD"/>
    <w:rsid w:val="007B3398"/>
    <w:rsid w:val="007B40A3"/>
    <w:rsid w:val="007B4CC3"/>
    <w:rsid w:val="007B4E2B"/>
    <w:rsid w:val="007B559E"/>
    <w:rsid w:val="007B59E0"/>
    <w:rsid w:val="007B670F"/>
    <w:rsid w:val="007B6C67"/>
    <w:rsid w:val="007B7480"/>
    <w:rsid w:val="007B780B"/>
    <w:rsid w:val="007B78E8"/>
    <w:rsid w:val="007C0910"/>
    <w:rsid w:val="007C0B43"/>
    <w:rsid w:val="007C0BEB"/>
    <w:rsid w:val="007C0F54"/>
    <w:rsid w:val="007C1DF4"/>
    <w:rsid w:val="007C1E03"/>
    <w:rsid w:val="007C201A"/>
    <w:rsid w:val="007C2772"/>
    <w:rsid w:val="007C2E8E"/>
    <w:rsid w:val="007C3611"/>
    <w:rsid w:val="007C38D1"/>
    <w:rsid w:val="007C3A3A"/>
    <w:rsid w:val="007C3AC7"/>
    <w:rsid w:val="007C3AE0"/>
    <w:rsid w:val="007C3BCC"/>
    <w:rsid w:val="007C4332"/>
    <w:rsid w:val="007C4A3E"/>
    <w:rsid w:val="007C505C"/>
    <w:rsid w:val="007C5BDD"/>
    <w:rsid w:val="007C6DE9"/>
    <w:rsid w:val="007C6E4F"/>
    <w:rsid w:val="007C72E0"/>
    <w:rsid w:val="007C7C9F"/>
    <w:rsid w:val="007D282B"/>
    <w:rsid w:val="007D2872"/>
    <w:rsid w:val="007D3070"/>
    <w:rsid w:val="007D3164"/>
    <w:rsid w:val="007D3C19"/>
    <w:rsid w:val="007D3FF0"/>
    <w:rsid w:val="007D430B"/>
    <w:rsid w:val="007D4796"/>
    <w:rsid w:val="007D4892"/>
    <w:rsid w:val="007D4A48"/>
    <w:rsid w:val="007D4C97"/>
    <w:rsid w:val="007D5528"/>
    <w:rsid w:val="007D5588"/>
    <w:rsid w:val="007D61B7"/>
    <w:rsid w:val="007D76B3"/>
    <w:rsid w:val="007D7A5E"/>
    <w:rsid w:val="007E0788"/>
    <w:rsid w:val="007E084F"/>
    <w:rsid w:val="007E1269"/>
    <w:rsid w:val="007E14E7"/>
    <w:rsid w:val="007E1E9F"/>
    <w:rsid w:val="007E26C5"/>
    <w:rsid w:val="007E2B92"/>
    <w:rsid w:val="007E325A"/>
    <w:rsid w:val="007E335D"/>
    <w:rsid w:val="007E33A9"/>
    <w:rsid w:val="007E34DF"/>
    <w:rsid w:val="007E3D5D"/>
    <w:rsid w:val="007E403E"/>
    <w:rsid w:val="007E4E97"/>
    <w:rsid w:val="007E5200"/>
    <w:rsid w:val="007E5358"/>
    <w:rsid w:val="007E5373"/>
    <w:rsid w:val="007E5634"/>
    <w:rsid w:val="007E65CD"/>
    <w:rsid w:val="007E6A40"/>
    <w:rsid w:val="007E769B"/>
    <w:rsid w:val="007E7912"/>
    <w:rsid w:val="007F0123"/>
    <w:rsid w:val="007F0A83"/>
    <w:rsid w:val="007F0BA3"/>
    <w:rsid w:val="007F102F"/>
    <w:rsid w:val="007F1AA3"/>
    <w:rsid w:val="007F1C03"/>
    <w:rsid w:val="007F1F39"/>
    <w:rsid w:val="007F25F4"/>
    <w:rsid w:val="007F2620"/>
    <w:rsid w:val="007F3B01"/>
    <w:rsid w:val="007F3D7A"/>
    <w:rsid w:val="007F43C2"/>
    <w:rsid w:val="007F4448"/>
    <w:rsid w:val="007F4A96"/>
    <w:rsid w:val="007F4F9F"/>
    <w:rsid w:val="007F509A"/>
    <w:rsid w:val="007F53CF"/>
    <w:rsid w:val="007F5866"/>
    <w:rsid w:val="007F5CFD"/>
    <w:rsid w:val="007F65F1"/>
    <w:rsid w:val="007F6C5D"/>
    <w:rsid w:val="007F7FA3"/>
    <w:rsid w:val="00801137"/>
    <w:rsid w:val="008011B9"/>
    <w:rsid w:val="00801B16"/>
    <w:rsid w:val="00802476"/>
    <w:rsid w:val="00802A83"/>
    <w:rsid w:val="00803271"/>
    <w:rsid w:val="008033DF"/>
    <w:rsid w:val="00803421"/>
    <w:rsid w:val="00803D28"/>
    <w:rsid w:val="008040FC"/>
    <w:rsid w:val="0080465E"/>
    <w:rsid w:val="008047FF"/>
    <w:rsid w:val="00804CE7"/>
    <w:rsid w:val="00804D5C"/>
    <w:rsid w:val="00804E0D"/>
    <w:rsid w:val="00805537"/>
    <w:rsid w:val="00805820"/>
    <w:rsid w:val="00806181"/>
    <w:rsid w:val="008065C7"/>
    <w:rsid w:val="00806C14"/>
    <w:rsid w:val="008075EC"/>
    <w:rsid w:val="00807B81"/>
    <w:rsid w:val="008100FA"/>
    <w:rsid w:val="00810611"/>
    <w:rsid w:val="00810863"/>
    <w:rsid w:val="00810917"/>
    <w:rsid w:val="0081107D"/>
    <w:rsid w:val="0081150C"/>
    <w:rsid w:val="00811EAB"/>
    <w:rsid w:val="008124BC"/>
    <w:rsid w:val="00812776"/>
    <w:rsid w:val="00812D0F"/>
    <w:rsid w:val="00813028"/>
    <w:rsid w:val="00813042"/>
    <w:rsid w:val="00813C72"/>
    <w:rsid w:val="00813D01"/>
    <w:rsid w:val="008141FF"/>
    <w:rsid w:val="008142D7"/>
    <w:rsid w:val="00814CA7"/>
    <w:rsid w:val="00814E30"/>
    <w:rsid w:val="00814F1C"/>
    <w:rsid w:val="008150E8"/>
    <w:rsid w:val="008158CD"/>
    <w:rsid w:val="00815995"/>
    <w:rsid w:val="00815C01"/>
    <w:rsid w:val="00815F4D"/>
    <w:rsid w:val="00816460"/>
    <w:rsid w:val="00816AF7"/>
    <w:rsid w:val="008172EF"/>
    <w:rsid w:val="0081783A"/>
    <w:rsid w:val="00817A4E"/>
    <w:rsid w:val="00817D33"/>
    <w:rsid w:val="008202C8"/>
    <w:rsid w:val="008203C1"/>
    <w:rsid w:val="00820657"/>
    <w:rsid w:val="00820723"/>
    <w:rsid w:val="008210B9"/>
    <w:rsid w:val="00821365"/>
    <w:rsid w:val="00821B16"/>
    <w:rsid w:val="00821B30"/>
    <w:rsid w:val="00822E9C"/>
    <w:rsid w:val="00823108"/>
    <w:rsid w:val="008231FF"/>
    <w:rsid w:val="00823AA6"/>
    <w:rsid w:val="00823AF4"/>
    <w:rsid w:val="00823B72"/>
    <w:rsid w:val="00823BCE"/>
    <w:rsid w:val="00823BFF"/>
    <w:rsid w:val="00823C97"/>
    <w:rsid w:val="00823CEF"/>
    <w:rsid w:val="00824087"/>
    <w:rsid w:val="00824316"/>
    <w:rsid w:val="008244BC"/>
    <w:rsid w:val="0082484C"/>
    <w:rsid w:val="008251C1"/>
    <w:rsid w:val="00826785"/>
    <w:rsid w:val="008300E3"/>
    <w:rsid w:val="00830260"/>
    <w:rsid w:val="0083134B"/>
    <w:rsid w:val="00831450"/>
    <w:rsid w:val="00832336"/>
    <w:rsid w:val="00832363"/>
    <w:rsid w:val="00832C40"/>
    <w:rsid w:val="00832EE9"/>
    <w:rsid w:val="00833955"/>
    <w:rsid w:val="00834000"/>
    <w:rsid w:val="008349C4"/>
    <w:rsid w:val="008357C5"/>
    <w:rsid w:val="00835EA1"/>
    <w:rsid w:val="008368B5"/>
    <w:rsid w:val="0083720D"/>
    <w:rsid w:val="008372FC"/>
    <w:rsid w:val="00840EA5"/>
    <w:rsid w:val="00842767"/>
    <w:rsid w:val="00842776"/>
    <w:rsid w:val="00842DF5"/>
    <w:rsid w:val="00843151"/>
    <w:rsid w:val="0084351D"/>
    <w:rsid w:val="00843825"/>
    <w:rsid w:val="008440B1"/>
    <w:rsid w:val="008440F8"/>
    <w:rsid w:val="00844A62"/>
    <w:rsid w:val="00844A6B"/>
    <w:rsid w:val="00844D62"/>
    <w:rsid w:val="0084564D"/>
    <w:rsid w:val="00845BA0"/>
    <w:rsid w:val="00846907"/>
    <w:rsid w:val="00846C36"/>
    <w:rsid w:val="00846E76"/>
    <w:rsid w:val="00846EB8"/>
    <w:rsid w:val="00846EE0"/>
    <w:rsid w:val="00846FCC"/>
    <w:rsid w:val="008470DE"/>
    <w:rsid w:val="00847695"/>
    <w:rsid w:val="00847930"/>
    <w:rsid w:val="00847945"/>
    <w:rsid w:val="00847E19"/>
    <w:rsid w:val="00847EDB"/>
    <w:rsid w:val="008500B4"/>
    <w:rsid w:val="0085027E"/>
    <w:rsid w:val="008507A2"/>
    <w:rsid w:val="00850DFC"/>
    <w:rsid w:val="00850F5B"/>
    <w:rsid w:val="00850FB9"/>
    <w:rsid w:val="00851611"/>
    <w:rsid w:val="00851C7B"/>
    <w:rsid w:val="00851DD5"/>
    <w:rsid w:val="0085220F"/>
    <w:rsid w:val="00852644"/>
    <w:rsid w:val="008528F2"/>
    <w:rsid w:val="00852DF9"/>
    <w:rsid w:val="008530B6"/>
    <w:rsid w:val="0085390D"/>
    <w:rsid w:val="00853C06"/>
    <w:rsid w:val="008542AB"/>
    <w:rsid w:val="0085442F"/>
    <w:rsid w:val="008548A5"/>
    <w:rsid w:val="00854A78"/>
    <w:rsid w:val="00855382"/>
    <w:rsid w:val="00855431"/>
    <w:rsid w:val="008565C5"/>
    <w:rsid w:val="00856A32"/>
    <w:rsid w:val="00856FB2"/>
    <w:rsid w:val="00857236"/>
    <w:rsid w:val="008604B4"/>
    <w:rsid w:val="0086108E"/>
    <w:rsid w:val="008610BA"/>
    <w:rsid w:val="008613DE"/>
    <w:rsid w:val="008613F8"/>
    <w:rsid w:val="00861509"/>
    <w:rsid w:val="00861652"/>
    <w:rsid w:val="00861781"/>
    <w:rsid w:val="00861DEE"/>
    <w:rsid w:val="00862200"/>
    <w:rsid w:val="00862A1A"/>
    <w:rsid w:val="00863781"/>
    <w:rsid w:val="00863AB9"/>
    <w:rsid w:val="00863D7C"/>
    <w:rsid w:val="00863D8A"/>
    <w:rsid w:val="0086424B"/>
    <w:rsid w:val="00864598"/>
    <w:rsid w:val="0086477E"/>
    <w:rsid w:val="00864A8E"/>
    <w:rsid w:val="008651C8"/>
    <w:rsid w:val="00865217"/>
    <w:rsid w:val="0086645C"/>
    <w:rsid w:val="00866D59"/>
    <w:rsid w:val="008671D3"/>
    <w:rsid w:val="0086799F"/>
    <w:rsid w:val="008700AB"/>
    <w:rsid w:val="00870444"/>
    <w:rsid w:val="008707B5"/>
    <w:rsid w:val="00870D5A"/>
    <w:rsid w:val="00871428"/>
    <w:rsid w:val="008718C8"/>
    <w:rsid w:val="00871F70"/>
    <w:rsid w:val="0087202A"/>
    <w:rsid w:val="008721E8"/>
    <w:rsid w:val="00872C24"/>
    <w:rsid w:val="00872FDA"/>
    <w:rsid w:val="00873737"/>
    <w:rsid w:val="00873DD9"/>
    <w:rsid w:val="00874001"/>
    <w:rsid w:val="008747FC"/>
    <w:rsid w:val="00874935"/>
    <w:rsid w:val="00874CB2"/>
    <w:rsid w:val="0087542A"/>
    <w:rsid w:val="00875503"/>
    <w:rsid w:val="00875D18"/>
    <w:rsid w:val="00875E16"/>
    <w:rsid w:val="00876B65"/>
    <w:rsid w:val="00876D06"/>
    <w:rsid w:val="00876DFA"/>
    <w:rsid w:val="00876E42"/>
    <w:rsid w:val="008776A0"/>
    <w:rsid w:val="00877B9B"/>
    <w:rsid w:val="00877F8A"/>
    <w:rsid w:val="0088021B"/>
    <w:rsid w:val="00880371"/>
    <w:rsid w:val="00880961"/>
    <w:rsid w:val="00881522"/>
    <w:rsid w:val="00881F84"/>
    <w:rsid w:val="00882356"/>
    <w:rsid w:val="00882493"/>
    <w:rsid w:val="00882F41"/>
    <w:rsid w:val="008835D2"/>
    <w:rsid w:val="008837DC"/>
    <w:rsid w:val="00883BFB"/>
    <w:rsid w:val="00883E4E"/>
    <w:rsid w:val="00884B37"/>
    <w:rsid w:val="00884BF0"/>
    <w:rsid w:val="00885AEA"/>
    <w:rsid w:val="00885E09"/>
    <w:rsid w:val="00886070"/>
    <w:rsid w:val="0088679C"/>
    <w:rsid w:val="00886907"/>
    <w:rsid w:val="00886B31"/>
    <w:rsid w:val="00886FD4"/>
    <w:rsid w:val="00887838"/>
    <w:rsid w:val="00890A04"/>
    <w:rsid w:val="00890AE7"/>
    <w:rsid w:val="00890EDD"/>
    <w:rsid w:val="00891331"/>
    <w:rsid w:val="008913D9"/>
    <w:rsid w:val="00891E12"/>
    <w:rsid w:val="0089205C"/>
    <w:rsid w:val="00892B1E"/>
    <w:rsid w:val="00892D1F"/>
    <w:rsid w:val="00892FB3"/>
    <w:rsid w:val="0089351C"/>
    <w:rsid w:val="0089391A"/>
    <w:rsid w:val="00894073"/>
    <w:rsid w:val="008943AC"/>
    <w:rsid w:val="008945E6"/>
    <w:rsid w:val="00894A25"/>
    <w:rsid w:val="00894A8E"/>
    <w:rsid w:val="00894AE1"/>
    <w:rsid w:val="00895003"/>
    <w:rsid w:val="0089570B"/>
    <w:rsid w:val="00895F6A"/>
    <w:rsid w:val="00896823"/>
    <w:rsid w:val="00896B93"/>
    <w:rsid w:val="00896DD5"/>
    <w:rsid w:val="00896EE7"/>
    <w:rsid w:val="008A0027"/>
    <w:rsid w:val="008A0203"/>
    <w:rsid w:val="008A0919"/>
    <w:rsid w:val="008A0CCC"/>
    <w:rsid w:val="008A133C"/>
    <w:rsid w:val="008A1405"/>
    <w:rsid w:val="008A1C6E"/>
    <w:rsid w:val="008A1CBD"/>
    <w:rsid w:val="008A2576"/>
    <w:rsid w:val="008A27AF"/>
    <w:rsid w:val="008A2B3D"/>
    <w:rsid w:val="008A306B"/>
    <w:rsid w:val="008A3561"/>
    <w:rsid w:val="008A35DF"/>
    <w:rsid w:val="008A38CB"/>
    <w:rsid w:val="008A3A34"/>
    <w:rsid w:val="008A3CD5"/>
    <w:rsid w:val="008A4349"/>
    <w:rsid w:val="008A4352"/>
    <w:rsid w:val="008A5163"/>
    <w:rsid w:val="008A570B"/>
    <w:rsid w:val="008A60FC"/>
    <w:rsid w:val="008A6156"/>
    <w:rsid w:val="008A6AE1"/>
    <w:rsid w:val="008A791F"/>
    <w:rsid w:val="008A7BB5"/>
    <w:rsid w:val="008B0691"/>
    <w:rsid w:val="008B0DC3"/>
    <w:rsid w:val="008B13F6"/>
    <w:rsid w:val="008B18C8"/>
    <w:rsid w:val="008B1C8B"/>
    <w:rsid w:val="008B1E05"/>
    <w:rsid w:val="008B2A7C"/>
    <w:rsid w:val="008B3770"/>
    <w:rsid w:val="008B3B57"/>
    <w:rsid w:val="008B3C7F"/>
    <w:rsid w:val="008B3D8D"/>
    <w:rsid w:val="008B3F6D"/>
    <w:rsid w:val="008B3FBC"/>
    <w:rsid w:val="008B4440"/>
    <w:rsid w:val="008B47C9"/>
    <w:rsid w:val="008B4EAE"/>
    <w:rsid w:val="008B4F98"/>
    <w:rsid w:val="008B53E3"/>
    <w:rsid w:val="008B55B8"/>
    <w:rsid w:val="008B5908"/>
    <w:rsid w:val="008B5AED"/>
    <w:rsid w:val="008B5C1F"/>
    <w:rsid w:val="008B5C56"/>
    <w:rsid w:val="008B6310"/>
    <w:rsid w:val="008B65B4"/>
    <w:rsid w:val="008B6944"/>
    <w:rsid w:val="008B69A2"/>
    <w:rsid w:val="008B73DC"/>
    <w:rsid w:val="008B7606"/>
    <w:rsid w:val="008B7A6A"/>
    <w:rsid w:val="008B7BF8"/>
    <w:rsid w:val="008C06F3"/>
    <w:rsid w:val="008C092D"/>
    <w:rsid w:val="008C0A1C"/>
    <w:rsid w:val="008C0A5F"/>
    <w:rsid w:val="008C0D5E"/>
    <w:rsid w:val="008C134E"/>
    <w:rsid w:val="008C15D0"/>
    <w:rsid w:val="008C18DC"/>
    <w:rsid w:val="008C1A86"/>
    <w:rsid w:val="008C1AA1"/>
    <w:rsid w:val="008C2005"/>
    <w:rsid w:val="008C2262"/>
    <w:rsid w:val="008C27B2"/>
    <w:rsid w:val="008C299E"/>
    <w:rsid w:val="008C2B68"/>
    <w:rsid w:val="008C3977"/>
    <w:rsid w:val="008C43C9"/>
    <w:rsid w:val="008C4ADA"/>
    <w:rsid w:val="008C4FF8"/>
    <w:rsid w:val="008C5521"/>
    <w:rsid w:val="008C58E3"/>
    <w:rsid w:val="008C60A2"/>
    <w:rsid w:val="008C7B7A"/>
    <w:rsid w:val="008C7B93"/>
    <w:rsid w:val="008D00FF"/>
    <w:rsid w:val="008D0252"/>
    <w:rsid w:val="008D0255"/>
    <w:rsid w:val="008D0A81"/>
    <w:rsid w:val="008D0B32"/>
    <w:rsid w:val="008D1335"/>
    <w:rsid w:val="008D2F49"/>
    <w:rsid w:val="008D30F3"/>
    <w:rsid w:val="008D38A5"/>
    <w:rsid w:val="008D3A89"/>
    <w:rsid w:val="008D4110"/>
    <w:rsid w:val="008D41C3"/>
    <w:rsid w:val="008D4BEA"/>
    <w:rsid w:val="008D596F"/>
    <w:rsid w:val="008D6204"/>
    <w:rsid w:val="008D635C"/>
    <w:rsid w:val="008D6B15"/>
    <w:rsid w:val="008D7282"/>
    <w:rsid w:val="008D7465"/>
    <w:rsid w:val="008D7D43"/>
    <w:rsid w:val="008D7DD5"/>
    <w:rsid w:val="008D7E92"/>
    <w:rsid w:val="008E0A81"/>
    <w:rsid w:val="008E0E29"/>
    <w:rsid w:val="008E1103"/>
    <w:rsid w:val="008E1AC5"/>
    <w:rsid w:val="008E1CC1"/>
    <w:rsid w:val="008E3343"/>
    <w:rsid w:val="008E35D7"/>
    <w:rsid w:val="008E3851"/>
    <w:rsid w:val="008E3DA6"/>
    <w:rsid w:val="008E3FB2"/>
    <w:rsid w:val="008E4759"/>
    <w:rsid w:val="008E4D7A"/>
    <w:rsid w:val="008E5128"/>
    <w:rsid w:val="008E53D9"/>
    <w:rsid w:val="008E599B"/>
    <w:rsid w:val="008E5A69"/>
    <w:rsid w:val="008E6600"/>
    <w:rsid w:val="008E72B8"/>
    <w:rsid w:val="008E74BD"/>
    <w:rsid w:val="008E79F7"/>
    <w:rsid w:val="008E7A7D"/>
    <w:rsid w:val="008E7BFB"/>
    <w:rsid w:val="008F063B"/>
    <w:rsid w:val="008F07B3"/>
    <w:rsid w:val="008F218C"/>
    <w:rsid w:val="008F27F6"/>
    <w:rsid w:val="008F2FC2"/>
    <w:rsid w:val="008F3673"/>
    <w:rsid w:val="008F3C09"/>
    <w:rsid w:val="008F3CBE"/>
    <w:rsid w:val="008F544B"/>
    <w:rsid w:val="008F6836"/>
    <w:rsid w:val="008F6D2D"/>
    <w:rsid w:val="008F725C"/>
    <w:rsid w:val="008F76DE"/>
    <w:rsid w:val="008F7D6D"/>
    <w:rsid w:val="008F7E40"/>
    <w:rsid w:val="008F7F45"/>
    <w:rsid w:val="00900315"/>
    <w:rsid w:val="009004AA"/>
    <w:rsid w:val="0090068A"/>
    <w:rsid w:val="00901750"/>
    <w:rsid w:val="009021C8"/>
    <w:rsid w:val="0090251B"/>
    <w:rsid w:val="009029FB"/>
    <w:rsid w:val="00903310"/>
    <w:rsid w:val="009033AB"/>
    <w:rsid w:val="0090349F"/>
    <w:rsid w:val="00903A22"/>
    <w:rsid w:val="00903D92"/>
    <w:rsid w:val="00904FF5"/>
    <w:rsid w:val="009051C0"/>
    <w:rsid w:val="009058C4"/>
    <w:rsid w:val="00905E87"/>
    <w:rsid w:val="009063FF"/>
    <w:rsid w:val="0090686D"/>
    <w:rsid w:val="00906ABF"/>
    <w:rsid w:val="00906B5B"/>
    <w:rsid w:val="00906BAB"/>
    <w:rsid w:val="00910102"/>
    <w:rsid w:val="009102C5"/>
    <w:rsid w:val="0091047F"/>
    <w:rsid w:val="0091087E"/>
    <w:rsid w:val="00910C00"/>
    <w:rsid w:val="00912DF9"/>
    <w:rsid w:val="0091302E"/>
    <w:rsid w:val="009130B7"/>
    <w:rsid w:val="0091326E"/>
    <w:rsid w:val="0091335E"/>
    <w:rsid w:val="009136C4"/>
    <w:rsid w:val="00913D93"/>
    <w:rsid w:val="00914CC4"/>
    <w:rsid w:val="009153DB"/>
    <w:rsid w:val="00915D42"/>
    <w:rsid w:val="0091624E"/>
    <w:rsid w:val="009165B6"/>
    <w:rsid w:val="0091678A"/>
    <w:rsid w:val="0091718E"/>
    <w:rsid w:val="00917757"/>
    <w:rsid w:val="00917AAA"/>
    <w:rsid w:val="00917DD5"/>
    <w:rsid w:val="00920126"/>
    <w:rsid w:val="009204E4"/>
    <w:rsid w:val="009206FF"/>
    <w:rsid w:val="00920BF6"/>
    <w:rsid w:val="00920F9F"/>
    <w:rsid w:val="009218FB"/>
    <w:rsid w:val="009236CB"/>
    <w:rsid w:val="00923A33"/>
    <w:rsid w:val="00923DC2"/>
    <w:rsid w:val="00924ABB"/>
    <w:rsid w:val="00924CB5"/>
    <w:rsid w:val="00925000"/>
    <w:rsid w:val="009252B6"/>
    <w:rsid w:val="0092549B"/>
    <w:rsid w:val="00925E76"/>
    <w:rsid w:val="00926250"/>
    <w:rsid w:val="0092639F"/>
    <w:rsid w:val="0092647D"/>
    <w:rsid w:val="009264F7"/>
    <w:rsid w:val="00926B11"/>
    <w:rsid w:val="00927AE6"/>
    <w:rsid w:val="0093010D"/>
    <w:rsid w:val="0093033D"/>
    <w:rsid w:val="009303FE"/>
    <w:rsid w:val="00930DD2"/>
    <w:rsid w:val="0093105A"/>
    <w:rsid w:val="0093326F"/>
    <w:rsid w:val="00933FA2"/>
    <w:rsid w:val="009342FD"/>
    <w:rsid w:val="009344AC"/>
    <w:rsid w:val="009344C2"/>
    <w:rsid w:val="00934585"/>
    <w:rsid w:val="00934768"/>
    <w:rsid w:val="00934AB1"/>
    <w:rsid w:val="00935187"/>
    <w:rsid w:val="0093526B"/>
    <w:rsid w:val="009355AE"/>
    <w:rsid w:val="00935715"/>
    <w:rsid w:val="0093597B"/>
    <w:rsid w:val="00935A6B"/>
    <w:rsid w:val="00935B0C"/>
    <w:rsid w:val="00936284"/>
    <w:rsid w:val="00936763"/>
    <w:rsid w:val="00937050"/>
    <w:rsid w:val="0093725D"/>
    <w:rsid w:val="00937620"/>
    <w:rsid w:val="00937D3A"/>
    <w:rsid w:val="00937D67"/>
    <w:rsid w:val="00937DC9"/>
    <w:rsid w:val="009408BE"/>
    <w:rsid w:val="0094114F"/>
    <w:rsid w:val="009415AE"/>
    <w:rsid w:val="0094229A"/>
    <w:rsid w:val="009427B9"/>
    <w:rsid w:val="009433DA"/>
    <w:rsid w:val="00943A65"/>
    <w:rsid w:val="00943A9F"/>
    <w:rsid w:val="0094452C"/>
    <w:rsid w:val="009445A6"/>
    <w:rsid w:val="00944AE5"/>
    <w:rsid w:val="00945982"/>
    <w:rsid w:val="00945F02"/>
    <w:rsid w:val="00946384"/>
    <w:rsid w:val="0094667F"/>
    <w:rsid w:val="0094693C"/>
    <w:rsid w:val="0094712E"/>
    <w:rsid w:val="00947298"/>
    <w:rsid w:val="009475CA"/>
    <w:rsid w:val="00947E60"/>
    <w:rsid w:val="009502EF"/>
    <w:rsid w:val="00950332"/>
    <w:rsid w:val="0095047A"/>
    <w:rsid w:val="0095055D"/>
    <w:rsid w:val="00950CFC"/>
    <w:rsid w:val="00951005"/>
    <w:rsid w:val="0095157A"/>
    <w:rsid w:val="00952129"/>
    <w:rsid w:val="00952688"/>
    <w:rsid w:val="00952D97"/>
    <w:rsid w:val="00952E6F"/>
    <w:rsid w:val="0095328A"/>
    <w:rsid w:val="0095335E"/>
    <w:rsid w:val="00953FDB"/>
    <w:rsid w:val="009549DA"/>
    <w:rsid w:val="00954C01"/>
    <w:rsid w:val="009552E6"/>
    <w:rsid w:val="009555B2"/>
    <w:rsid w:val="00955842"/>
    <w:rsid w:val="00955C2C"/>
    <w:rsid w:val="00955CD1"/>
    <w:rsid w:val="00957037"/>
    <w:rsid w:val="00957293"/>
    <w:rsid w:val="00957ABC"/>
    <w:rsid w:val="00960096"/>
    <w:rsid w:val="0096046B"/>
    <w:rsid w:val="009606F7"/>
    <w:rsid w:val="00961EA4"/>
    <w:rsid w:val="00961F44"/>
    <w:rsid w:val="00963049"/>
    <w:rsid w:val="00963393"/>
    <w:rsid w:val="00963E66"/>
    <w:rsid w:val="009656C0"/>
    <w:rsid w:val="00967619"/>
    <w:rsid w:val="00967BC4"/>
    <w:rsid w:val="009702D1"/>
    <w:rsid w:val="0097052A"/>
    <w:rsid w:val="00970674"/>
    <w:rsid w:val="00970904"/>
    <w:rsid w:val="00970B4B"/>
    <w:rsid w:val="00970FB5"/>
    <w:rsid w:val="0097114F"/>
    <w:rsid w:val="00971250"/>
    <w:rsid w:val="0097125D"/>
    <w:rsid w:val="00971323"/>
    <w:rsid w:val="00971347"/>
    <w:rsid w:val="009716C1"/>
    <w:rsid w:val="009718D0"/>
    <w:rsid w:val="00971F44"/>
    <w:rsid w:val="009720C9"/>
    <w:rsid w:val="009720E1"/>
    <w:rsid w:val="0097252A"/>
    <w:rsid w:val="0097261C"/>
    <w:rsid w:val="00972C41"/>
    <w:rsid w:val="00972FCF"/>
    <w:rsid w:val="00973620"/>
    <w:rsid w:val="0097373F"/>
    <w:rsid w:val="0097392F"/>
    <w:rsid w:val="00974818"/>
    <w:rsid w:val="00974E01"/>
    <w:rsid w:val="00975062"/>
    <w:rsid w:val="0097516A"/>
    <w:rsid w:val="009751A0"/>
    <w:rsid w:val="00975322"/>
    <w:rsid w:val="00975354"/>
    <w:rsid w:val="009757E9"/>
    <w:rsid w:val="00975ABB"/>
    <w:rsid w:val="00975B66"/>
    <w:rsid w:val="0097659F"/>
    <w:rsid w:val="00976725"/>
    <w:rsid w:val="00976E76"/>
    <w:rsid w:val="009773C7"/>
    <w:rsid w:val="009777ED"/>
    <w:rsid w:val="00977ECC"/>
    <w:rsid w:val="00980401"/>
    <w:rsid w:val="0098050C"/>
    <w:rsid w:val="00981AC0"/>
    <w:rsid w:val="00981E1C"/>
    <w:rsid w:val="00982214"/>
    <w:rsid w:val="00982738"/>
    <w:rsid w:val="00982ADB"/>
    <w:rsid w:val="00983905"/>
    <w:rsid w:val="009850D5"/>
    <w:rsid w:val="00985794"/>
    <w:rsid w:val="00985E27"/>
    <w:rsid w:val="00986295"/>
    <w:rsid w:val="0098638D"/>
    <w:rsid w:val="0098692E"/>
    <w:rsid w:val="00987195"/>
    <w:rsid w:val="0098722D"/>
    <w:rsid w:val="00987A22"/>
    <w:rsid w:val="00987B97"/>
    <w:rsid w:val="00987C85"/>
    <w:rsid w:val="00987E00"/>
    <w:rsid w:val="009902CD"/>
    <w:rsid w:val="00990B98"/>
    <w:rsid w:val="00990E06"/>
    <w:rsid w:val="009916C4"/>
    <w:rsid w:val="0099231B"/>
    <w:rsid w:val="009923A8"/>
    <w:rsid w:val="00992571"/>
    <w:rsid w:val="00992834"/>
    <w:rsid w:val="00992B66"/>
    <w:rsid w:val="00993B66"/>
    <w:rsid w:val="00995094"/>
    <w:rsid w:val="0099515B"/>
    <w:rsid w:val="0099544C"/>
    <w:rsid w:val="00995DF5"/>
    <w:rsid w:val="00995DF7"/>
    <w:rsid w:val="00996CC7"/>
    <w:rsid w:val="00996D27"/>
    <w:rsid w:val="00996EAB"/>
    <w:rsid w:val="00997166"/>
    <w:rsid w:val="0099790F"/>
    <w:rsid w:val="00997C60"/>
    <w:rsid w:val="009A02E5"/>
    <w:rsid w:val="009A197E"/>
    <w:rsid w:val="009A20B5"/>
    <w:rsid w:val="009A2AFF"/>
    <w:rsid w:val="009A2F6B"/>
    <w:rsid w:val="009A32FD"/>
    <w:rsid w:val="009A35AF"/>
    <w:rsid w:val="009A39A8"/>
    <w:rsid w:val="009A39C8"/>
    <w:rsid w:val="009A403A"/>
    <w:rsid w:val="009A4619"/>
    <w:rsid w:val="009A49DA"/>
    <w:rsid w:val="009A4CD2"/>
    <w:rsid w:val="009A5244"/>
    <w:rsid w:val="009A53E8"/>
    <w:rsid w:val="009A54ED"/>
    <w:rsid w:val="009A5E26"/>
    <w:rsid w:val="009A6F3F"/>
    <w:rsid w:val="009A7051"/>
    <w:rsid w:val="009A73E1"/>
    <w:rsid w:val="009A778D"/>
    <w:rsid w:val="009A7B74"/>
    <w:rsid w:val="009A7E84"/>
    <w:rsid w:val="009B0059"/>
    <w:rsid w:val="009B0E62"/>
    <w:rsid w:val="009B1052"/>
    <w:rsid w:val="009B108E"/>
    <w:rsid w:val="009B11DD"/>
    <w:rsid w:val="009B1B2D"/>
    <w:rsid w:val="009B1E62"/>
    <w:rsid w:val="009B1EC3"/>
    <w:rsid w:val="009B2456"/>
    <w:rsid w:val="009B2F9C"/>
    <w:rsid w:val="009B371B"/>
    <w:rsid w:val="009B3B23"/>
    <w:rsid w:val="009B3D50"/>
    <w:rsid w:val="009B3EA5"/>
    <w:rsid w:val="009B46C5"/>
    <w:rsid w:val="009B4BD5"/>
    <w:rsid w:val="009B4D95"/>
    <w:rsid w:val="009B54E1"/>
    <w:rsid w:val="009B5D63"/>
    <w:rsid w:val="009B5EA9"/>
    <w:rsid w:val="009B68A9"/>
    <w:rsid w:val="009B6BCD"/>
    <w:rsid w:val="009B6C58"/>
    <w:rsid w:val="009B6C91"/>
    <w:rsid w:val="009B6DF3"/>
    <w:rsid w:val="009B6E13"/>
    <w:rsid w:val="009C086B"/>
    <w:rsid w:val="009C11FC"/>
    <w:rsid w:val="009C1745"/>
    <w:rsid w:val="009C17F4"/>
    <w:rsid w:val="009C281D"/>
    <w:rsid w:val="009C29DB"/>
    <w:rsid w:val="009C3210"/>
    <w:rsid w:val="009C3557"/>
    <w:rsid w:val="009C417F"/>
    <w:rsid w:val="009C424D"/>
    <w:rsid w:val="009C42B1"/>
    <w:rsid w:val="009C437A"/>
    <w:rsid w:val="009C4443"/>
    <w:rsid w:val="009C46FC"/>
    <w:rsid w:val="009C49D3"/>
    <w:rsid w:val="009C49E2"/>
    <w:rsid w:val="009C5617"/>
    <w:rsid w:val="009C6A3A"/>
    <w:rsid w:val="009C6BAE"/>
    <w:rsid w:val="009C7544"/>
    <w:rsid w:val="009C7A81"/>
    <w:rsid w:val="009C7C8A"/>
    <w:rsid w:val="009C7F10"/>
    <w:rsid w:val="009D01E7"/>
    <w:rsid w:val="009D022F"/>
    <w:rsid w:val="009D04A1"/>
    <w:rsid w:val="009D0757"/>
    <w:rsid w:val="009D091A"/>
    <w:rsid w:val="009D0D54"/>
    <w:rsid w:val="009D1E35"/>
    <w:rsid w:val="009D2466"/>
    <w:rsid w:val="009D289E"/>
    <w:rsid w:val="009D3B07"/>
    <w:rsid w:val="009D41A1"/>
    <w:rsid w:val="009D41FE"/>
    <w:rsid w:val="009D4A96"/>
    <w:rsid w:val="009D4E04"/>
    <w:rsid w:val="009D4FE5"/>
    <w:rsid w:val="009D5379"/>
    <w:rsid w:val="009D5D3A"/>
    <w:rsid w:val="009D643C"/>
    <w:rsid w:val="009D6584"/>
    <w:rsid w:val="009D669D"/>
    <w:rsid w:val="009D6A1E"/>
    <w:rsid w:val="009D6E4A"/>
    <w:rsid w:val="009D6F43"/>
    <w:rsid w:val="009D7671"/>
    <w:rsid w:val="009D767F"/>
    <w:rsid w:val="009D799D"/>
    <w:rsid w:val="009E01D9"/>
    <w:rsid w:val="009E0259"/>
    <w:rsid w:val="009E038E"/>
    <w:rsid w:val="009E03D2"/>
    <w:rsid w:val="009E0494"/>
    <w:rsid w:val="009E1177"/>
    <w:rsid w:val="009E1401"/>
    <w:rsid w:val="009E188D"/>
    <w:rsid w:val="009E2026"/>
    <w:rsid w:val="009E26E2"/>
    <w:rsid w:val="009E27EA"/>
    <w:rsid w:val="009E3685"/>
    <w:rsid w:val="009E37A3"/>
    <w:rsid w:val="009E39DA"/>
    <w:rsid w:val="009E4146"/>
    <w:rsid w:val="009E48B0"/>
    <w:rsid w:val="009E4F4E"/>
    <w:rsid w:val="009E4F67"/>
    <w:rsid w:val="009E50FA"/>
    <w:rsid w:val="009E579A"/>
    <w:rsid w:val="009E59B6"/>
    <w:rsid w:val="009E5EF2"/>
    <w:rsid w:val="009E6030"/>
    <w:rsid w:val="009E6275"/>
    <w:rsid w:val="009E6B8B"/>
    <w:rsid w:val="009E6E46"/>
    <w:rsid w:val="009E75C4"/>
    <w:rsid w:val="009F0237"/>
    <w:rsid w:val="009F0482"/>
    <w:rsid w:val="009F0515"/>
    <w:rsid w:val="009F058A"/>
    <w:rsid w:val="009F083D"/>
    <w:rsid w:val="009F1E95"/>
    <w:rsid w:val="009F252C"/>
    <w:rsid w:val="009F25C3"/>
    <w:rsid w:val="009F2ACD"/>
    <w:rsid w:val="009F399E"/>
    <w:rsid w:val="009F3F6A"/>
    <w:rsid w:val="009F4111"/>
    <w:rsid w:val="009F41CA"/>
    <w:rsid w:val="009F49DB"/>
    <w:rsid w:val="009F4AC0"/>
    <w:rsid w:val="009F5029"/>
    <w:rsid w:val="009F5144"/>
    <w:rsid w:val="009F5401"/>
    <w:rsid w:val="009F5846"/>
    <w:rsid w:val="009F5986"/>
    <w:rsid w:val="009F63AC"/>
    <w:rsid w:val="009F6ACA"/>
    <w:rsid w:val="009F776F"/>
    <w:rsid w:val="00A0067A"/>
    <w:rsid w:val="00A0101F"/>
    <w:rsid w:val="00A013FD"/>
    <w:rsid w:val="00A01CD3"/>
    <w:rsid w:val="00A022F3"/>
    <w:rsid w:val="00A0231E"/>
    <w:rsid w:val="00A02651"/>
    <w:rsid w:val="00A0268F"/>
    <w:rsid w:val="00A02C04"/>
    <w:rsid w:val="00A02F69"/>
    <w:rsid w:val="00A04621"/>
    <w:rsid w:val="00A049E5"/>
    <w:rsid w:val="00A04B58"/>
    <w:rsid w:val="00A04BD8"/>
    <w:rsid w:val="00A050D4"/>
    <w:rsid w:val="00A05106"/>
    <w:rsid w:val="00A052C0"/>
    <w:rsid w:val="00A0570F"/>
    <w:rsid w:val="00A0590D"/>
    <w:rsid w:val="00A05AAD"/>
    <w:rsid w:val="00A05C24"/>
    <w:rsid w:val="00A06216"/>
    <w:rsid w:val="00A06839"/>
    <w:rsid w:val="00A06B92"/>
    <w:rsid w:val="00A0700C"/>
    <w:rsid w:val="00A075B0"/>
    <w:rsid w:val="00A11407"/>
    <w:rsid w:val="00A11507"/>
    <w:rsid w:val="00A115E0"/>
    <w:rsid w:val="00A11B1D"/>
    <w:rsid w:val="00A11E73"/>
    <w:rsid w:val="00A1210C"/>
    <w:rsid w:val="00A123DD"/>
    <w:rsid w:val="00A129F3"/>
    <w:rsid w:val="00A12C9F"/>
    <w:rsid w:val="00A12F31"/>
    <w:rsid w:val="00A130EB"/>
    <w:rsid w:val="00A13316"/>
    <w:rsid w:val="00A134C2"/>
    <w:rsid w:val="00A1368E"/>
    <w:rsid w:val="00A140A7"/>
    <w:rsid w:val="00A14760"/>
    <w:rsid w:val="00A14CC6"/>
    <w:rsid w:val="00A14FFA"/>
    <w:rsid w:val="00A155B7"/>
    <w:rsid w:val="00A15D84"/>
    <w:rsid w:val="00A15F29"/>
    <w:rsid w:val="00A15FCE"/>
    <w:rsid w:val="00A163D8"/>
    <w:rsid w:val="00A16437"/>
    <w:rsid w:val="00A16955"/>
    <w:rsid w:val="00A16AEA"/>
    <w:rsid w:val="00A17765"/>
    <w:rsid w:val="00A1784C"/>
    <w:rsid w:val="00A17BD7"/>
    <w:rsid w:val="00A2005C"/>
    <w:rsid w:val="00A20B40"/>
    <w:rsid w:val="00A20CF4"/>
    <w:rsid w:val="00A20F2F"/>
    <w:rsid w:val="00A22286"/>
    <w:rsid w:val="00A22A32"/>
    <w:rsid w:val="00A22F4A"/>
    <w:rsid w:val="00A22F95"/>
    <w:rsid w:val="00A231A8"/>
    <w:rsid w:val="00A2328A"/>
    <w:rsid w:val="00A235A0"/>
    <w:rsid w:val="00A24B99"/>
    <w:rsid w:val="00A24D8F"/>
    <w:rsid w:val="00A24ECB"/>
    <w:rsid w:val="00A255BD"/>
    <w:rsid w:val="00A2572A"/>
    <w:rsid w:val="00A2574E"/>
    <w:rsid w:val="00A2583E"/>
    <w:rsid w:val="00A25C1D"/>
    <w:rsid w:val="00A25F59"/>
    <w:rsid w:val="00A267AB"/>
    <w:rsid w:val="00A26C89"/>
    <w:rsid w:val="00A26CE1"/>
    <w:rsid w:val="00A27172"/>
    <w:rsid w:val="00A2723D"/>
    <w:rsid w:val="00A27690"/>
    <w:rsid w:val="00A3049A"/>
    <w:rsid w:val="00A30688"/>
    <w:rsid w:val="00A30C4A"/>
    <w:rsid w:val="00A30DC3"/>
    <w:rsid w:val="00A328E9"/>
    <w:rsid w:val="00A32C15"/>
    <w:rsid w:val="00A33178"/>
    <w:rsid w:val="00A33412"/>
    <w:rsid w:val="00A336A1"/>
    <w:rsid w:val="00A33802"/>
    <w:rsid w:val="00A342DA"/>
    <w:rsid w:val="00A34367"/>
    <w:rsid w:val="00A34EB8"/>
    <w:rsid w:val="00A352B6"/>
    <w:rsid w:val="00A35601"/>
    <w:rsid w:val="00A35776"/>
    <w:rsid w:val="00A36998"/>
    <w:rsid w:val="00A37B6E"/>
    <w:rsid w:val="00A37F0F"/>
    <w:rsid w:val="00A40092"/>
    <w:rsid w:val="00A419F3"/>
    <w:rsid w:val="00A41CD3"/>
    <w:rsid w:val="00A420C3"/>
    <w:rsid w:val="00A42411"/>
    <w:rsid w:val="00A42712"/>
    <w:rsid w:val="00A428B4"/>
    <w:rsid w:val="00A42CB6"/>
    <w:rsid w:val="00A42DDF"/>
    <w:rsid w:val="00A4349A"/>
    <w:rsid w:val="00A437EC"/>
    <w:rsid w:val="00A4387F"/>
    <w:rsid w:val="00A44126"/>
    <w:rsid w:val="00A44BBE"/>
    <w:rsid w:val="00A45220"/>
    <w:rsid w:val="00A45549"/>
    <w:rsid w:val="00A4568F"/>
    <w:rsid w:val="00A4579F"/>
    <w:rsid w:val="00A458CD"/>
    <w:rsid w:val="00A45CD0"/>
    <w:rsid w:val="00A45E16"/>
    <w:rsid w:val="00A464B0"/>
    <w:rsid w:val="00A46736"/>
    <w:rsid w:val="00A46A10"/>
    <w:rsid w:val="00A46EE7"/>
    <w:rsid w:val="00A473A0"/>
    <w:rsid w:val="00A47460"/>
    <w:rsid w:val="00A47E97"/>
    <w:rsid w:val="00A50D4D"/>
    <w:rsid w:val="00A50DF3"/>
    <w:rsid w:val="00A51326"/>
    <w:rsid w:val="00A51A79"/>
    <w:rsid w:val="00A51AC4"/>
    <w:rsid w:val="00A51C8C"/>
    <w:rsid w:val="00A51D29"/>
    <w:rsid w:val="00A52A24"/>
    <w:rsid w:val="00A532AC"/>
    <w:rsid w:val="00A53404"/>
    <w:rsid w:val="00A53F23"/>
    <w:rsid w:val="00A547D5"/>
    <w:rsid w:val="00A54EDE"/>
    <w:rsid w:val="00A553C0"/>
    <w:rsid w:val="00A55879"/>
    <w:rsid w:val="00A55957"/>
    <w:rsid w:val="00A55BC2"/>
    <w:rsid w:val="00A55C04"/>
    <w:rsid w:val="00A5673F"/>
    <w:rsid w:val="00A56896"/>
    <w:rsid w:val="00A56D6E"/>
    <w:rsid w:val="00A56FF6"/>
    <w:rsid w:val="00A57090"/>
    <w:rsid w:val="00A577D9"/>
    <w:rsid w:val="00A57FED"/>
    <w:rsid w:val="00A60056"/>
    <w:rsid w:val="00A602F0"/>
    <w:rsid w:val="00A60A7E"/>
    <w:rsid w:val="00A60AAA"/>
    <w:rsid w:val="00A60BB5"/>
    <w:rsid w:val="00A60CC8"/>
    <w:rsid w:val="00A60EE1"/>
    <w:rsid w:val="00A61048"/>
    <w:rsid w:val="00A612DC"/>
    <w:rsid w:val="00A61733"/>
    <w:rsid w:val="00A61F3B"/>
    <w:rsid w:val="00A620E5"/>
    <w:rsid w:val="00A62263"/>
    <w:rsid w:val="00A6237C"/>
    <w:rsid w:val="00A626FF"/>
    <w:rsid w:val="00A627DB"/>
    <w:rsid w:val="00A62A98"/>
    <w:rsid w:val="00A6354F"/>
    <w:rsid w:val="00A638FB"/>
    <w:rsid w:val="00A6420D"/>
    <w:rsid w:val="00A6533D"/>
    <w:rsid w:val="00A65754"/>
    <w:rsid w:val="00A65C78"/>
    <w:rsid w:val="00A661B6"/>
    <w:rsid w:val="00A6671D"/>
    <w:rsid w:val="00A6689A"/>
    <w:rsid w:val="00A66A95"/>
    <w:rsid w:val="00A67889"/>
    <w:rsid w:val="00A70C18"/>
    <w:rsid w:val="00A70FB6"/>
    <w:rsid w:val="00A7147C"/>
    <w:rsid w:val="00A7161F"/>
    <w:rsid w:val="00A716E8"/>
    <w:rsid w:val="00A71851"/>
    <w:rsid w:val="00A71C02"/>
    <w:rsid w:val="00A71C2F"/>
    <w:rsid w:val="00A71D3B"/>
    <w:rsid w:val="00A71E11"/>
    <w:rsid w:val="00A72C35"/>
    <w:rsid w:val="00A72D60"/>
    <w:rsid w:val="00A730F5"/>
    <w:rsid w:val="00A73110"/>
    <w:rsid w:val="00A73E72"/>
    <w:rsid w:val="00A74191"/>
    <w:rsid w:val="00A744AC"/>
    <w:rsid w:val="00A7459B"/>
    <w:rsid w:val="00A74985"/>
    <w:rsid w:val="00A74AAA"/>
    <w:rsid w:val="00A74D07"/>
    <w:rsid w:val="00A751E2"/>
    <w:rsid w:val="00A759C6"/>
    <w:rsid w:val="00A75D4C"/>
    <w:rsid w:val="00A76220"/>
    <w:rsid w:val="00A76833"/>
    <w:rsid w:val="00A76B46"/>
    <w:rsid w:val="00A7704F"/>
    <w:rsid w:val="00A77758"/>
    <w:rsid w:val="00A77B84"/>
    <w:rsid w:val="00A77C80"/>
    <w:rsid w:val="00A77CB9"/>
    <w:rsid w:val="00A800CD"/>
    <w:rsid w:val="00A801BA"/>
    <w:rsid w:val="00A802C0"/>
    <w:rsid w:val="00A80377"/>
    <w:rsid w:val="00A807B6"/>
    <w:rsid w:val="00A827F1"/>
    <w:rsid w:val="00A8317C"/>
    <w:rsid w:val="00A8346F"/>
    <w:rsid w:val="00A83882"/>
    <w:rsid w:val="00A84A2F"/>
    <w:rsid w:val="00A85097"/>
    <w:rsid w:val="00A855F3"/>
    <w:rsid w:val="00A859CA"/>
    <w:rsid w:val="00A86257"/>
    <w:rsid w:val="00A862B0"/>
    <w:rsid w:val="00A86655"/>
    <w:rsid w:val="00A86AD4"/>
    <w:rsid w:val="00A86F79"/>
    <w:rsid w:val="00A87548"/>
    <w:rsid w:val="00A87B07"/>
    <w:rsid w:val="00A90013"/>
    <w:rsid w:val="00A90179"/>
    <w:rsid w:val="00A90846"/>
    <w:rsid w:val="00A9133D"/>
    <w:rsid w:val="00A918D1"/>
    <w:rsid w:val="00A91E7E"/>
    <w:rsid w:val="00A91EFA"/>
    <w:rsid w:val="00A91F32"/>
    <w:rsid w:val="00A91F7A"/>
    <w:rsid w:val="00A92676"/>
    <w:rsid w:val="00A929B5"/>
    <w:rsid w:val="00A92DA2"/>
    <w:rsid w:val="00A93282"/>
    <w:rsid w:val="00A937BF"/>
    <w:rsid w:val="00A93853"/>
    <w:rsid w:val="00A938AC"/>
    <w:rsid w:val="00A9450C"/>
    <w:rsid w:val="00A94BCF"/>
    <w:rsid w:val="00A955B5"/>
    <w:rsid w:val="00A96486"/>
    <w:rsid w:val="00A9667A"/>
    <w:rsid w:val="00A978CE"/>
    <w:rsid w:val="00AA0050"/>
    <w:rsid w:val="00AA0373"/>
    <w:rsid w:val="00AA0FF5"/>
    <w:rsid w:val="00AA1744"/>
    <w:rsid w:val="00AA1C84"/>
    <w:rsid w:val="00AA33E9"/>
    <w:rsid w:val="00AA3AD8"/>
    <w:rsid w:val="00AA410D"/>
    <w:rsid w:val="00AA4303"/>
    <w:rsid w:val="00AA4673"/>
    <w:rsid w:val="00AA4B46"/>
    <w:rsid w:val="00AA51C9"/>
    <w:rsid w:val="00AA5203"/>
    <w:rsid w:val="00AA5E2D"/>
    <w:rsid w:val="00AA5FF7"/>
    <w:rsid w:val="00AA6187"/>
    <w:rsid w:val="00AA63F1"/>
    <w:rsid w:val="00AA6E27"/>
    <w:rsid w:val="00AA6FEB"/>
    <w:rsid w:val="00AA72F8"/>
    <w:rsid w:val="00AA74A2"/>
    <w:rsid w:val="00AA78D9"/>
    <w:rsid w:val="00AA797A"/>
    <w:rsid w:val="00AB00DC"/>
    <w:rsid w:val="00AB06F5"/>
    <w:rsid w:val="00AB1985"/>
    <w:rsid w:val="00AB1A90"/>
    <w:rsid w:val="00AB1ABC"/>
    <w:rsid w:val="00AB1C76"/>
    <w:rsid w:val="00AB1E7A"/>
    <w:rsid w:val="00AB280A"/>
    <w:rsid w:val="00AB2A1B"/>
    <w:rsid w:val="00AB2C7F"/>
    <w:rsid w:val="00AB2D69"/>
    <w:rsid w:val="00AB3247"/>
    <w:rsid w:val="00AB375D"/>
    <w:rsid w:val="00AB3771"/>
    <w:rsid w:val="00AB3868"/>
    <w:rsid w:val="00AB3C43"/>
    <w:rsid w:val="00AB44C2"/>
    <w:rsid w:val="00AB47C6"/>
    <w:rsid w:val="00AB6206"/>
    <w:rsid w:val="00AB6611"/>
    <w:rsid w:val="00AB6741"/>
    <w:rsid w:val="00AB70EA"/>
    <w:rsid w:val="00AB75F1"/>
    <w:rsid w:val="00AB7E93"/>
    <w:rsid w:val="00AB7EC7"/>
    <w:rsid w:val="00AC029B"/>
    <w:rsid w:val="00AC0F09"/>
    <w:rsid w:val="00AC0F45"/>
    <w:rsid w:val="00AC1197"/>
    <w:rsid w:val="00AC16B3"/>
    <w:rsid w:val="00AC20EE"/>
    <w:rsid w:val="00AC22D0"/>
    <w:rsid w:val="00AC235A"/>
    <w:rsid w:val="00AC2414"/>
    <w:rsid w:val="00AC24E3"/>
    <w:rsid w:val="00AC2591"/>
    <w:rsid w:val="00AC2946"/>
    <w:rsid w:val="00AC382B"/>
    <w:rsid w:val="00AC42C7"/>
    <w:rsid w:val="00AC4555"/>
    <w:rsid w:val="00AC482B"/>
    <w:rsid w:val="00AC4842"/>
    <w:rsid w:val="00AC50AA"/>
    <w:rsid w:val="00AC543B"/>
    <w:rsid w:val="00AC59AB"/>
    <w:rsid w:val="00AC6375"/>
    <w:rsid w:val="00AC637C"/>
    <w:rsid w:val="00AC6D86"/>
    <w:rsid w:val="00AC7A2D"/>
    <w:rsid w:val="00AC7E6A"/>
    <w:rsid w:val="00AD000F"/>
    <w:rsid w:val="00AD014B"/>
    <w:rsid w:val="00AD0674"/>
    <w:rsid w:val="00AD097E"/>
    <w:rsid w:val="00AD1144"/>
    <w:rsid w:val="00AD15A2"/>
    <w:rsid w:val="00AD18E0"/>
    <w:rsid w:val="00AD2C7B"/>
    <w:rsid w:val="00AD3571"/>
    <w:rsid w:val="00AD3C89"/>
    <w:rsid w:val="00AD3DF6"/>
    <w:rsid w:val="00AD3E4F"/>
    <w:rsid w:val="00AD447E"/>
    <w:rsid w:val="00AD46CE"/>
    <w:rsid w:val="00AD4C24"/>
    <w:rsid w:val="00AD4CDB"/>
    <w:rsid w:val="00AD5432"/>
    <w:rsid w:val="00AD5950"/>
    <w:rsid w:val="00AD59FA"/>
    <w:rsid w:val="00AD65A9"/>
    <w:rsid w:val="00AD664E"/>
    <w:rsid w:val="00AD69B6"/>
    <w:rsid w:val="00AD7309"/>
    <w:rsid w:val="00AD753F"/>
    <w:rsid w:val="00AD79D9"/>
    <w:rsid w:val="00AE0D53"/>
    <w:rsid w:val="00AE1314"/>
    <w:rsid w:val="00AE13D9"/>
    <w:rsid w:val="00AE171C"/>
    <w:rsid w:val="00AE1AD6"/>
    <w:rsid w:val="00AE1BC7"/>
    <w:rsid w:val="00AE1D38"/>
    <w:rsid w:val="00AE2AD7"/>
    <w:rsid w:val="00AE2EBD"/>
    <w:rsid w:val="00AE345D"/>
    <w:rsid w:val="00AE3544"/>
    <w:rsid w:val="00AE3609"/>
    <w:rsid w:val="00AE3676"/>
    <w:rsid w:val="00AE42A8"/>
    <w:rsid w:val="00AE42C4"/>
    <w:rsid w:val="00AE4435"/>
    <w:rsid w:val="00AE44D9"/>
    <w:rsid w:val="00AE4B44"/>
    <w:rsid w:val="00AE4FD5"/>
    <w:rsid w:val="00AE50C3"/>
    <w:rsid w:val="00AE57FE"/>
    <w:rsid w:val="00AE582B"/>
    <w:rsid w:val="00AE5925"/>
    <w:rsid w:val="00AE5993"/>
    <w:rsid w:val="00AE5CA0"/>
    <w:rsid w:val="00AE5D01"/>
    <w:rsid w:val="00AE6991"/>
    <w:rsid w:val="00AE6ABD"/>
    <w:rsid w:val="00AE73CA"/>
    <w:rsid w:val="00AE763F"/>
    <w:rsid w:val="00AF00BA"/>
    <w:rsid w:val="00AF0A8F"/>
    <w:rsid w:val="00AF0C12"/>
    <w:rsid w:val="00AF0D82"/>
    <w:rsid w:val="00AF0E61"/>
    <w:rsid w:val="00AF1AAC"/>
    <w:rsid w:val="00AF1D39"/>
    <w:rsid w:val="00AF2078"/>
    <w:rsid w:val="00AF29BF"/>
    <w:rsid w:val="00AF2CDD"/>
    <w:rsid w:val="00AF32F6"/>
    <w:rsid w:val="00AF34C7"/>
    <w:rsid w:val="00AF3C9F"/>
    <w:rsid w:val="00AF41E0"/>
    <w:rsid w:val="00AF434D"/>
    <w:rsid w:val="00AF43E8"/>
    <w:rsid w:val="00AF4886"/>
    <w:rsid w:val="00AF4E03"/>
    <w:rsid w:val="00AF50AF"/>
    <w:rsid w:val="00AF592B"/>
    <w:rsid w:val="00AF5A2E"/>
    <w:rsid w:val="00AF5A46"/>
    <w:rsid w:val="00AF603B"/>
    <w:rsid w:val="00AF6096"/>
    <w:rsid w:val="00AF6EBA"/>
    <w:rsid w:val="00AF7184"/>
    <w:rsid w:val="00AF761F"/>
    <w:rsid w:val="00AF7792"/>
    <w:rsid w:val="00AF78D8"/>
    <w:rsid w:val="00AF797A"/>
    <w:rsid w:val="00B00B95"/>
    <w:rsid w:val="00B00D0F"/>
    <w:rsid w:val="00B0100F"/>
    <w:rsid w:val="00B01D8F"/>
    <w:rsid w:val="00B02962"/>
    <w:rsid w:val="00B0298C"/>
    <w:rsid w:val="00B034C7"/>
    <w:rsid w:val="00B03666"/>
    <w:rsid w:val="00B036C7"/>
    <w:rsid w:val="00B038BC"/>
    <w:rsid w:val="00B03D1B"/>
    <w:rsid w:val="00B03F9C"/>
    <w:rsid w:val="00B0493A"/>
    <w:rsid w:val="00B05953"/>
    <w:rsid w:val="00B05957"/>
    <w:rsid w:val="00B060CD"/>
    <w:rsid w:val="00B06D34"/>
    <w:rsid w:val="00B06E57"/>
    <w:rsid w:val="00B070B3"/>
    <w:rsid w:val="00B07B02"/>
    <w:rsid w:val="00B07B46"/>
    <w:rsid w:val="00B07E5A"/>
    <w:rsid w:val="00B11787"/>
    <w:rsid w:val="00B12128"/>
    <w:rsid w:val="00B123DF"/>
    <w:rsid w:val="00B128F7"/>
    <w:rsid w:val="00B12A81"/>
    <w:rsid w:val="00B13046"/>
    <w:rsid w:val="00B133A4"/>
    <w:rsid w:val="00B1352B"/>
    <w:rsid w:val="00B1358F"/>
    <w:rsid w:val="00B137DC"/>
    <w:rsid w:val="00B13B17"/>
    <w:rsid w:val="00B140DB"/>
    <w:rsid w:val="00B14C16"/>
    <w:rsid w:val="00B14FB1"/>
    <w:rsid w:val="00B1541E"/>
    <w:rsid w:val="00B15447"/>
    <w:rsid w:val="00B15750"/>
    <w:rsid w:val="00B15B69"/>
    <w:rsid w:val="00B162BC"/>
    <w:rsid w:val="00B1653F"/>
    <w:rsid w:val="00B16D95"/>
    <w:rsid w:val="00B175EC"/>
    <w:rsid w:val="00B17687"/>
    <w:rsid w:val="00B17835"/>
    <w:rsid w:val="00B1798B"/>
    <w:rsid w:val="00B20025"/>
    <w:rsid w:val="00B203C3"/>
    <w:rsid w:val="00B20A15"/>
    <w:rsid w:val="00B20B3B"/>
    <w:rsid w:val="00B20F83"/>
    <w:rsid w:val="00B21B80"/>
    <w:rsid w:val="00B21CDB"/>
    <w:rsid w:val="00B21E6D"/>
    <w:rsid w:val="00B21EC9"/>
    <w:rsid w:val="00B21F0E"/>
    <w:rsid w:val="00B22273"/>
    <w:rsid w:val="00B223E1"/>
    <w:rsid w:val="00B2244A"/>
    <w:rsid w:val="00B22908"/>
    <w:rsid w:val="00B22A84"/>
    <w:rsid w:val="00B22D92"/>
    <w:rsid w:val="00B230CF"/>
    <w:rsid w:val="00B23377"/>
    <w:rsid w:val="00B236A4"/>
    <w:rsid w:val="00B238A6"/>
    <w:rsid w:val="00B23F85"/>
    <w:rsid w:val="00B24212"/>
    <w:rsid w:val="00B243BE"/>
    <w:rsid w:val="00B25550"/>
    <w:rsid w:val="00B25746"/>
    <w:rsid w:val="00B26034"/>
    <w:rsid w:val="00B2702D"/>
    <w:rsid w:val="00B274E2"/>
    <w:rsid w:val="00B30550"/>
    <w:rsid w:val="00B30687"/>
    <w:rsid w:val="00B3087C"/>
    <w:rsid w:val="00B308F7"/>
    <w:rsid w:val="00B30BC6"/>
    <w:rsid w:val="00B30E23"/>
    <w:rsid w:val="00B30FBB"/>
    <w:rsid w:val="00B3135F"/>
    <w:rsid w:val="00B31D87"/>
    <w:rsid w:val="00B31E19"/>
    <w:rsid w:val="00B32067"/>
    <w:rsid w:val="00B32A95"/>
    <w:rsid w:val="00B32AB6"/>
    <w:rsid w:val="00B33487"/>
    <w:rsid w:val="00B33533"/>
    <w:rsid w:val="00B33BE3"/>
    <w:rsid w:val="00B341EF"/>
    <w:rsid w:val="00B34AC1"/>
    <w:rsid w:val="00B35DA8"/>
    <w:rsid w:val="00B35DB1"/>
    <w:rsid w:val="00B363AF"/>
    <w:rsid w:val="00B367EF"/>
    <w:rsid w:val="00B368FF"/>
    <w:rsid w:val="00B3699F"/>
    <w:rsid w:val="00B371DE"/>
    <w:rsid w:val="00B372AB"/>
    <w:rsid w:val="00B372B4"/>
    <w:rsid w:val="00B404E6"/>
    <w:rsid w:val="00B40607"/>
    <w:rsid w:val="00B40D77"/>
    <w:rsid w:val="00B40DC8"/>
    <w:rsid w:val="00B40E44"/>
    <w:rsid w:val="00B411CF"/>
    <w:rsid w:val="00B41371"/>
    <w:rsid w:val="00B41393"/>
    <w:rsid w:val="00B41826"/>
    <w:rsid w:val="00B418E0"/>
    <w:rsid w:val="00B41A61"/>
    <w:rsid w:val="00B41FE0"/>
    <w:rsid w:val="00B42B7C"/>
    <w:rsid w:val="00B42C19"/>
    <w:rsid w:val="00B42D89"/>
    <w:rsid w:val="00B42E72"/>
    <w:rsid w:val="00B43716"/>
    <w:rsid w:val="00B43E59"/>
    <w:rsid w:val="00B440A7"/>
    <w:rsid w:val="00B44443"/>
    <w:rsid w:val="00B4490B"/>
    <w:rsid w:val="00B44D15"/>
    <w:rsid w:val="00B455A1"/>
    <w:rsid w:val="00B45961"/>
    <w:rsid w:val="00B45F60"/>
    <w:rsid w:val="00B46112"/>
    <w:rsid w:val="00B46CCD"/>
    <w:rsid w:val="00B46DAC"/>
    <w:rsid w:val="00B47019"/>
    <w:rsid w:val="00B473A0"/>
    <w:rsid w:val="00B47CAB"/>
    <w:rsid w:val="00B47D4B"/>
    <w:rsid w:val="00B50642"/>
    <w:rsid w:val="00B506DA"/>
    <w:rsid w:val="00B509BA"/>
    <w:rsid w:val="00B51063"/>
    <w:rsid w:val="00B5122E"/>
    <w:rsid w:val="00B51547"/>
    <w:rsid w:val="00B5155A"/>
    <w:rsid w:val="00B51C9D"/>
    <w:rsid w:val="00B51CBE"/>
    <w:rsid w:val="00B52288"/>
    <w:rsid w:val="00B5284B"/>
    <w:rsid w:val="00B52A13"/>
    <w:rsid w:val="00B52D95"/>
    <w:rsid w:val="00B52DCC"/>
    <w:rsid w:val="00B530F3"/>
    <w:rsid w:val="00B539D6"/>
    <w:rsid w:val="00B53E0C"/>
    <w:rsid w:val="00B53F08"/>
    <w:rsid w:val="00B540D9"/>
    <w:rsid w:val="00B54970"/>
    <w:rsid w:val="00B54986"/>
    <w:rsid w:val="00B55044"/>
    <w:rsid w:val="00B555E2"/>
    <w:rsid w:val="00B5591F"/>
    <w:rsid w:val="00B559C5"/>
    <w:rsid w:val="00B56680"/>
    <w:rsid w:val="00B57063"/>
    <w:rsid w:val="00B574E3"/>
    <w:rsid w:val="00B577F5"/>
    <w:rsid w:val="00B6025F"/>
    <w:rsid w:val="00B60CCF"/>
    <w:rsid w:val="00B61418"/>
    <w:rsid w:val="00B61989"/>
    <w:rsid w:val="00B61D36"/>
    <w:rsid w:val="00B6216F"/>
    <w:rsid w:val="00B62171"/>
    <w:rsid w:val="00B62478"/>
    <w:rsid w:val="00B62741"/>
    <w:rsid w:val="00B62A13"/>
    <w:rsid w:val="00B62A23"/>
    <w:rsid w:val="00B62E7A"/>
    <w:rsid w:val="00B63ED2"/>
    <w:rsid w:val="00B64122"/>
    <w:rsid w:val="00B643CA"/>
    <w:rsid w:val="00B644D6"/>
    <w:rsid w:val="00B65301"/>
    <w:rsid w:val="00B653CB"/>
    <w:rsid w:val="00B667C3"/>
    <w:rsid w:val="00B66822"/>
    <w:rsid w:val="00B66C84"/>
    <w:rsid w:val="00B670D2"/>
    <w:rsid w:val="00B67652"/>
    <w:rsid w:val="00B67882"/>
    <w:rsid w:val="00B6798B"/>
    <w:rsid w:val="00B67CDD"/>
    <w:rsid w:val="00B67DAF"/>
    <w:rsid w:val="00B701D2"/>
    <w:rsid w:val="00B70990"/>
    <w:rsid w:val="00B70E1D"/>
    <w:rsid w:val="00B71B75"/>
    <w:rsid w:val="00B71FCE"/>
    <w:rsid w:val="00B72711"/>
    <w:rsid w:val="00B72933"/>
    <w:rsid w:val="00B72BA1"/>
    <w:rsid w:val="00B72CDF"/>
    <w:rsid w:val="00B73B3C"/>
    <w:rsid w:val="00B73CDC"/>
    <w:rsid w:val="00B740EB"/>
    <w:rsid w:val="00B7498F"/>
    <w:rsid w:val="00B756DA"/>
    <w:rsid w:val="00B75FAB"/>
    <w:rsid w:val="00B76AE8"/>
    <w:rsid w:val="00B77636"/>
    <w:rsid w:val="00B7771A"/>
    <w:rsid w:val="00B77AD1"/>
    <w:rsid w:val="00B77D19"/>
    <w:rsid w:val="00B80966"/>
    <w:rsid w:val="00B80F8D"/>
    <w:rsid w:val="00B80FFC"/>
    <w:rsid w:val="00B81004"/>
    <w:rsid w:val="00B8122A"/>
    <w:rsid w:val="00B82C70"/>
    <w:rsid w:val="00B83195"/>
    <w:rsid w:val="00B83439"/>
    <w:rsid w:val="00B836F4"/>
    <w:rsid w:val="00B83C11"/>
    <w:rsid w:val="00B83E41"/>
    <w:rsid w:val="00B83E88"/>
    <w:rsid w:val="00B83EF0"/>
    <w:rsid w:val="00B842F2"/>
    <w:rsid w:val="00B8473D"/>
    <w:rsid w:val="00B84D4A"/>
    <w:rsid w:val="00B8507B"/>
    <w:rsid w:val="00B85A79"/>
    <w:rsid w:val="00B85AFE"/>
    <w:rsid w:val="00B85C7C"/>
    <w:rsid w:val="00B85D23"/>
    <w:rsid w:val="00B863FC"/>
    <w:rsid w:val="00B867E1"/>
    <w:rsid w:val="00B86EDC"/>
    <w:rsid w:val="00B873AD"/>
    <w:rsid w:val="00B87B0A"/>
    <w:rsid w:val="00B87C25"/>
    <w:rsid w:val="00B90266"/>
    <w:rsid w:val="00B90289"/>
    <w:rsid w:val="00B915B9"/>
    <w:rsid w:val="00B91ACF"/>
    <w:rsid w:val="00B92218"/>
    <w:rsid w:val="00B9239E"/>
    <w:rsid w:val="00B92B67"/>
    <w:rsid w:val="00B92BB3"/>
    <w:rsid w:val="00B935AC"/>
    <w:rsid w:val="00B937FE"/>
    <w:rsid w:val="00B93BD0"/>
    <w:rsid w:val="00B93C44"/>
    <w:rsid w:val="00B95AAF"/>
    <w:rsid w:val="00B95FF2"/>
    <w:rsid w:val="00B9601E"/>
    <w:rsid w:val="00B96D02"/>
    <w:rsid w:val="00B9716D"/>
    <w:rsid w:val="00B97184"/>
    <w:rsid w:val="00B9723A"/>
    <w:rsid w:val="00B973AC"/>
    <w:rsid w:val="00B97712"/>
    <w:rsid w:val="00BA0B87"/>
    <w:rsid w:val="00BA0DB9"/>
    <w:rsid w:val="00BA0DCE"/>
    <w:rsid w:val="00BA10AE"/>
    <w:rsid w:val="00BA13B0"/>
    <w:rsid w:val="00BA13B7"/>
    <w:rsid w:val="00BA1805"/>
    <w:rsid w:val="00BA1883"/>
    <w:rsid w:val="00BA2480"/>
    <w:rsid w:val="00BA25B5"/>
    <w:rsid w:val="00BA2FC5"/>
    <w:rsid w:val="00BA3090"/>
    <w:rsid w:val="00BA327D"/>
    <w:rsid w:val="00BA32F6"/>
    <w:rsid w:val="00BA362D"/>
    <w:rsid w:val="00BA399F"/>
    <w:rsid w:val="00BA3ED5"/>
    <w:rsid w:val="00BA4517"/>
    <w:rsid w:val="00BA5745"/>
    <w:rsid w:val="00BA5972"/>
    <w:rsid w:val="00BA611B"/>
    <w:rsid w:val="00BA61A0"/>
    <w:rsid w:val="00BA63AC"/>
    <w:rsid w:val="00BA6905"/>
    <w:rsid w:val="00BA6F55"/>
    <w:rsid w:val="00BA78D9"/>
    <w:rsid w:val="00BB00A5"/>
    <w:rsid w:val="00BB04F6"/>
    <w:rsid w:val="00BB0803"/>
    <w:rsid w:val="00BB0D82"/>
    <w:rsid w:val="00BB13AF"/>
    <w:rsid w:val="00BB14E3"/>
    <w:rsid w:val="00BB1660"/>
    <w:rsid w:val="00BB1CF9"/>
    <w:rsid w:val="00BB1E65"/>
    <w:rsid w:val="00BB209D"/>
    <w:rsid w:val="00BB28B6"/>
    <w:rsid w:val="00BB298F"/>
    <w:rsid w:val="00BB2D1E"/>
    <w:rsid w:val="00BB2F09"/>
    <w:rsid w:val="00BB449D"/>
    <w:rsid w:val="00BB4E4D"/>
    <w:rsid w:val="00BB58FB"/>
    <w:rsid w:val="00BB5D2A"/>
    <w:rsid w:val="00BB5E97"/>
    <w:rsid w:val="00BB6A97"/>
    <w:rsid w:val="00BB6D95"/>
    <w:rsid w:val="00BB76CD"/>
    <w:rsid w:val="00BC001A"/>
    <w:rsid w:val="00BC0E12"/>
    <w:rsid w:val="00BC13F8"/>
    <w:rsid w:val="00BC1973"/>
    <w:rsid w:val="00BC197A"/>
    <w:rsid w:val="00BC1C50"/>
    <w:rsid w:val="00BC2F15"/>
    <w:rsid w:val="00BC313D"/>
    <w:rsid w:val="00BC340A"/>
    <w:rsid w:val="00BC35CE"/>
    <w:rsid w:val="00BC3883"/>
    <w:rsid w:val="00BC3BE6"/>
    <w:rsid w:val="00BC3CA3"/>
    <w:rsid w:val="00BC40E0"/>
    <w:rsid w:val="00BC411A"/>
    <w:rsid w:val="00BC4244"/>
    <w:rsid w:val="00BC48C4"/>
    <w:rsid w:val="00BC50D0"/>
    <w:rsid w:val="00BC60AC"/>
    <w:rsid w:val="00BC65D1"/>
    <w:rsid w:val="00BC6974"/>
    <w:rsid w:val="00BC6B75"/>
    <w:rsid w:val="00BC6D4D"/>
    <w:rsid w:val="00BC7B57"/>
    <w:rsid w:val="00BC7D86"/>
    <w:rsid w:val="00BD1149"/>
    <w:rsid w:val="00BD1794"/>
    <w:rsid w:val="00BD1903"/>
    <w:rsid w:val="00BD29A0"/>
    <w:rsid w:val="00BD2B9D"/>
    <w:rsid w:val="00BD2D9B"/>
    <w:rsid w:val="00BD3408"/>
    <w:rsid w:val="00BD3D72"/>
    <w:rsid w:val="00BD3D75"/>
    <w:rsid w:val="00BD540A"/>
    <w:rsid w:val="00BD57D1"/>
    <w:rsid w:val="00BD5892"/>
    <w:rsid w:val="00BD6187"/>
    <w:rsid w:val="00BD6F08"/>
    <w:rsid w:val="00BD749A"/>
    <w:rsid w:val="00BD786B"/>
    <w:rsid w:val="00BD7D3A"/>
    <w:rsid w:val="00BE002E"/>
    <w:rsid w:val="00BE026F"/>
    <w:rsid w:val="00BE0CAC"/>
    <w:rsid w:val="00BE11D9"/>
    <w:rsid w:val="00BE1567"/>
    <w:rsid w:val="00BE1B39"/>
    <w:rsid w:val="00BE1E57"/>
    <w:rsid w:val="00BE326B"/>
    <w:rsid w:val="00BE37F7"/>
    <w:rsid w:val="00BE4AF1"/>
    <w:rsid w:val="00BE50B9"/>
    <w:rsid w:val="00BE525D"/>
    <w:rsid w:val="00BE5CD0"/>
    <w:rsid w:val="00BE6B61"/>
    <w:rsid w:val="00BE7364"/>
    <w:rsid w:val="00BE738A"/>
    <w:rsid w:val="00BE7834"/>
    <w:rsid w:val="00BE7DDF"/>
    <w:rsid w:val="00BF01BA"/>
    <w:rsid w:val="00BF07DD"/>
    <w:rsid w:val="00BF0A4E"/>
    <w:rsid w:val="00BF0B68"/>
    <w:rsid w:val="00BF0D2A"/>
    <w:rsid w:val="00BF0EAA"/>
    <w:rsid w:val="00BF1091"/>
    <w:rsid w:val="00BF17B4"/>
    <w:rsid w:val="00BF208F"/>
    <w:rsid w:val="00BF2817"/>
    <w:rsid w:val="00BF282E"/>
    <w:rsid w:val="00BF2843"/>
    <w:rsid w:val="00BF2891"/>
    <w:rsid w:val="00BF2B17"/>
    <w:rsid w:val="00BF341F"/>
    <w:rsid w:val="00BF374F"/>
    <w:rsid w:val="00BF3BDB"/>
    <w:rsid w:val="00BF40AD"/>
    <w:rsid w:val="00BF4137"/>
    <w:rsid w:val="00BF45C7"/>
    <w:rsid w:val="00BF4680"/>
    <w:rsid w:val="00BF4B51"/>
    <w:rsid w:val="00BF4B57"/>
    <w:rsid w:val="00BF4C11"/>
    <w:rsid w:val="00BF4D88"/>
    <w:rsid w:val="00BF4EEC"/>
    <w:rsid w:val="00BF4F00"/>
    <w:rsid w:val="00BF51F1"/>
    <w:rsid w:val="00BF5404"/>
    <w:rsid w:val="00BF636E"/>
    <w:rsid w:val="00BF713F"/>
    <w:rsid w:val="00BF7195"/>
    <w:rsid w:val="00BF7257"/>
    <w:rsid w:val="00BF73E7"/>
    <w:rsid w:val="00BF7894"/>
    <w:rsid w:val="00BF7CF2"/>
    <w:rsid w:val="00C00486"/>
    <w:rsid w:val="00C01009"/>
    <w:rsid w:val="00C01883"/>
    <w:rsid w:val="00C01A9D"/>
    <w:rsid w:val="00C01C08"/>
    <w:rsid w:val="00C0217A"/>
    <w:rsid w:val="00C021F1"/>
    <w:rsid w:val="00C02564"/>
    <w:rsid w:val="00C0268A"/>
    <w:rsid w:val="00C02751"/>
    <w:rsid w:val="00C0373D"/>
    <w:rsid w:val="00C03F06"/>
    <w:rsid w:val="00C03FF8"/>
    <w:rsid w:val="00C041A9"/>
    <w:rsid w:val="00C04340"/>
    <w:rsid w:val="00C04491"/>
    <w:rsid w:val="00C04495"/>
    <w:rsid w:val="00C05371"/>
    <w:rsid w:val="00C05855"/>
    <w:rsid w:val="00C05BC2"/>
    <w:rsid w:val="00C05D52"/>
    <w:rsid w:val="00C05D96"/>
    <w:rsid w:val="00C06AEF"/>
    <w:rsid w:val="00C0706E"/>
    <w:rsid w:val="00C071C0"/>
    <w:rsid w:val="00C0751F"/>
    <w:rsid w:val="00C07D18"/>
    <w:rsid w:val="00C07F38"/>
    <w:rsid w:val="00C10205"/>
    <w:rsid w:val="00C1056D"/>
    <w:rsid w:val="00C111DC"/>
    <w:rsid w:val="00C11F54"/>
    <w:rsid w:val="00C12652"/>
    <w:rsid w:val="00C12A6A"/>
    <w:rsid w:val="00C1352D"/>
    <w:rsid w:val="00C13A0A"/>
    <w:rsid w:val="00C13BEB"/>
    <w:rsid w:val="00C13FFA"/>
    <w:rsid w:val="00C1468B"/>
    <w:rsid w:val="00C14A9C"/>
    <w:rsid w:val="00C14B9D"/>
    <w:rsid w:val="00C14D93"/>
    <w:rsid w:val="00C15BEA"/>
    <w:rsid w:val="00C15EE3"/>
    <w:rsid w:val="00C16584"/>
    <w:rsid w:val="00C16A54"/>
    <w:rsid w:val="00C17490"/>
    <w:rsid w:val="00C17627"/>
    <w:rsid w:val="00C1796F"/>
    <w:rsid w:val="00C17988"/>
    <w:rsid w:val="00C17AC5"/>
    <w:rsid w:val="00C2114A"/>
    <w:rsid w:val="00C212C3"/>
    <w:rsid w:val="00C214DC"/>
    <w:rsid w:val="00C21986"/>
    <w:rsid w:val="00C21FA4"/>
    <w:rsid w:val="00C22122"/>
    <w:rsid w:val="00C23170"/>
    <w:rsid w:val="00C232E3"/>
    <w:rsid w:val="00C237AD"/>
    <w:rsid w:val="00C23D8B"/>
    <w:rsid w:val="00C2425E"/>
    <w:rsid w:val="00C24A37"/>
    <w:rsid w:val="00C24A62"/>
    <w:rsid w:val="00C25A0A"/>
    <w:rsid w:val="00C25AD7"/>
    <w:rsid w:val="00C25B4A"/>
    <w:rsid w:val="00C25DD9"/>
    <w:rsid w:val="00C260DA"/>
    <w:rsid w:val="00C26CE8"/>
    <w:rsid w:val="00C27108"/>
    <w:rsid w:val="00C2746A"/>
    <w:rsid w:val="00C30940"/>
    <w:rsid w:val="00C30A03"/>
    <w:rsid w:val="00C31A36"/>
    <w:rsid w:val="00C31F2F"/>
    <w:rsid w:val="00C329B4"/>
    <w:rsid w:val="00C32C0E"/>
    <w:rsid w:val="00C33011"/>
    <w:rsid w:val="00C330DD"/>
    <w:rsid w:val="00C3369A"/>
    <w:rsid w:val="00C3388C"/>
    <w:rsid w:val="00C33DA6"/>
    <w:rsid w:val="00C3403D"/>
    <w:rsid w:val="00C34CA3"/>
    <w:rsid w:val="00C35504"/>
    <w:rsid w:val="00C35608"/>
    <w:rsid w:val="00C36BD0"/>
    <w:rsid w:val="00C36BD8"/>
    <w:rsid w:val="00C37669"/>
    <w:rsid w:val="00C37BFA"/>
    <w:rsid w:val="00C37E7E"/>
    <w:rsid w:val="00C40086"/>
    <w:rsid w:val="00C408B4"/>
    <w:rsid w:val="00C40E9F"/>
    <w:rsid w:val="00C419F1"/>
    <w:rsid w:val="00C41ED0"/>
    <w:rsid w:val="00C41F69"/>
    <w:rsid w:val="00C41FAE"/>
    <w:rsid w:val="00C429FE"/>
    <w:rsid w:val="00C42DC6"/>
    <w:rsid w:val="00C43314"/>
    <w:rsid w:val="00C436D2"/>
    <w:rsid w:val="00C438CC"/>
    <w:rsid w:val="00C44199"/>
    <w:rsid w:val="00C4450C"/>
    <w:rsid w:val="00C445AE"/>
    <w:rsid w:val="00C44826"/>
    <w:rsid w:val="00C45048"/>
    <w:rsid w:val="00C45058"/>
    <w:rsid w:val="00C45091"/>
    <w:rsid w:val="00C4548C"/>
    <w:rsid w:val="00C45844"/>
    <w:rsid w:val="00C45973"/>
    <w:rsid w:val="00C459A7"/>
    <w:rsid w:val="00C45A37"/>
    <w:rsid w:val="00C45ABC"/>
    <w:rsid w:val="00C45C09"/>
    <w:rsid w:val="00C45C44"/>
    <w:rsid w:val="00C46798"/>
    <w:rsid w:val="00C46870"/>
    <w:rsid w:val="00C46B49"/>
    <w:rsid w:val="00C46E2D"/>
    <w:rsid w:val="00C47256"/>
    <w:rsid w:val="00C47CB5"/>
    <w:rsid w:val="00C5003B"/>
    <w:rsid w:val="00C5099A"/>
    <w:rsid w:val="00C50A0F"/>
    <w:rsid w:val="00C50B31"/>
    <w:rsid w:val="00C50CF3"/>
    <w:rsid w:val="00C513CF"/>
    <w:rsid w:val="00C51911"/>
    <w:rsid w:val="00C51A1E"/>
    <w:rsid w:val="00C51ABE"/>
    <w:rsid w:val="00C5228F"/>
    <w:rsid w:val="00C52463"/>
    <w:rsid w:val="00C52625"/>
    <w:rsid w:val="00C52C3F"/>
    <w:rsid w:val="00C53089"/>
    <w:rsid w:val="00C530A4"/>
    <w:rsid w:val="00C53476"/>
    <w:rsid w:val="00C534CB"/>
    <w:rsid w:val="00C53BDC"/>
    <w:rsid w:val="00C53CB7"/>
    <w:rsid w:val="00C548A8"/>
    <w:rsid w:val="00C548C5"/>
    <w:rsid w:val="00C559AF"/>
    <w:rsid w:val="00C55AD5"/>
    <w:rsid w:val="00C560A3"/>
    <w:rsid w:val="00C56693"/>
    <w:rsid w:val="00C5681D"/>
    <w:rsid w:val="00C568BB"/>
    <w:rsid w:val="00C570B1"/>
    <w:rsid w:val="00C5728A"/>
    <w:rsid w:val="00C57426"/>
    <w:rsid w:val="00C57570"/>
    <w:rsid w:val="00C60A57"/>
    <w:rsid w:val="00C613C8"/>
    <w:rsid w:val="00C61762"/>
    <w:rsid w:val="00C618BF"/>
    <w:rsid w:val="00C618E7"/>
    <w:rsid w:val="00C6191C"/>
    <w:rsid w:val="00C61D7C"/>
    <w:rsid w:val="00C61FF3"/>
    <w:rsid w:val="00C62358"/>
    <w:rsid w:val="00C62B57"/>
    <w:rsid w:val="00C63105"/>
    <w:rsid w:val="00C63C03"/>
    <w:rsid w:val="00C63D11"/>
    <w:rsid w:val="00C6439C"/>
    <w:rsid w:val="00C645AA"/>
    <w:rsid w:val="00C6496A"/>
    <w:rsid w:val="00C64B90"/>
    <w:rsid w:val="00C64C0C"/>
    <w:rsid w:val="00C64EC1"/>
    <w:rsid w:val="00C65317"/>
    <w:rsid w:val="00C65469"/>
    <w:rsid w:val="00C65816"/>
    <w:rsid w:val="00C65E98"/>
    <w:rsid w:val="00C65FE6"/>
    <w:rsid w:val="00C66081"/>
    <w:rsid w:val="00C67044"/>
    <w:rsid w:val="00C6715F"/>
    <w:rsid w:val="00C678AB"/>
    <w:rsid w:val="00C679C0"/>
    <w:rsid w:val="00C70310"/>
    <w:rsid w:val="00C70EE3"/>
    <w:rsid w:val="00C712C3"/>
    <w:rsid w:val="00C72090"/>
    <w:rsid w:val="00C72942"/>
    <w:rsid w:val="00C73462"/>
    <w:rsid w:val="00C73AFD"/>
    <w:rsid w:val="00C74206"/>
    <w:rsid w:val="00C7431A"/>
    <w:rsid w:val="00C74396"/>
    <w:rsid w:val="00C748F7"/>
    <w:rsid w:val="00C74946"/>
    <w:rsid w:val="00C74BBC"/>
    <w:rsid w:val="00C76883"/>
    <w:rsid w:val="00C769A8"/>
    <w:rsid w:val="00C7736D"/>
    <w:rsid w:val="00C77937"/>
    <w:rsid w:val="00C800AA"/>
    <w:rsid w:val="00C80794"/>
    <w:rsid w:val="00C8089C"/>
    <w:rsid w:val="00C80F1D"/>
    <w:rsid w:val="00C8175C"/>
    <w:rsid w:val="00C81A1A"/>
    <w:rsid w:val="00C81EAF"/>
    <w:rsid w:val="00C82340"/>
    <w:rsid w:val="00C825D9"/>
    <w:rsid w:val="00C826F7"/>
    <w:rsid w:val="00C82793"/>
    <w:rsid w:val="00C82803"/>
    <w:rsid w:val="00C82A25"/>
    <w:rsid w:val="00C8317B"/>
    <w:rsid w:val="00C83AFF"/>
    <w:rsid w:val="00C83D88"/>
    <w:rsid w:val="00C84093"/>
    <w:rsid w:val="00C85659"/>
    <w:rsid w:val="00C85DB1"/>
    <w:rsid w:val="00C86D40"/>
    <w:rsid w:val="00C87522"/>
    <w:rsid w:val="00C875A5"/>
    <w:rsid w:val="00C877FF"/>
    <w:rsid w:val="00C87FF1"/>
    <w:rsid w:val="00C909D3"/>
    <w:rsid w:val="00C90D23"/>
    <w:rsid w:val="00C917CC"/>
    <w:rsid w:val="00C921A3"/>
    <w:rsid w:val="00C92629"/>
    <w:rsid w:val="00C929AD"/>
    <w:rsid w:val="00C92B79"/>
    <w:rsid w:val="00C93929"/>
    <w:rsid w:val="00C94306"/>
    <w:rsid w:val="00C94378"/>
    <w:rsid w:val="00C94425"/>
    <w:rsid w:val="00C9442D"/>
    <w:rsid w:val="00C94AA7"/>
    <w:rsid w:val="00C94CFD"/>
    <w:rsid w:val="00C95044"/>
    <w:rsid w:val="00C954CC"/>
    <w:rsid w:val="00C956A7"/>
    <w:rsid w:val="00C9589E"/>
    <w:rsid w:val="00C95BA2"/>
    <w:rsid w:val="00C96223"/>
    <w:rsid w:val="00C96752"/>
    <w:rsid w:val="00C96943"/>
    <w:rsid w:val="00C96D6B"/>
    <w:rsid w:val="00C970EE"/>
    <w:rsid w:val="00C972E0"/>
    <w:rsid w:val="00C97DD6"/>
    <w:rsid w:val="00C97F13"/>
    <w:rsid w:val="00C97F90"/>
    <w:rsid w:val="00CA06CB"/>
    <w:rsid w:val="00CA1827"/>
    <w:rsid w:val="00CA18E1"/>
    <w:rsid w:val="00CA276A"/>
    <w:rsid w:val="00CA2852"/>
    <w:rsid w:val="00CA2894"/>
    <w:rsid w:val="00CA2AF2"/>
    <w:rsid w:val="00CA2F05"/>
    <w:rsid w:val="00CA2F48"/>
    <w:rsid w:val="00CA2FF3"/>
    <w:rsid w:val="00CA3400"/>
    <w:rsid w:val="00CA36D8"/>
    <w:rsid w:val="00CA380C"/>
    <w:rsid w:val="00CA3B28"/>
    <w:rsid w:val="00CA3DC0"/>
    <w:rsid w:val="00CA3E53"/>
    <w:rsid w:val="00CA4676"/>
    <w:rsid w:val="00CA474F"/>
    <w:rsid w:val="00CA4899"/>
    <w:rsid w:val="00CA4C8C"/>
    <w:rsid w:val="00CA5830"/>
    <w:rsid w:val="00CA61AF"/>
    <w:rsid w:val="00CA6675"/>
    <w:rsid w:val="00CA6AAE"/>
    <w:rsid w:val="00CA7090"/>
    <w:rsid w:val="00CA7235"/>
    <w:rsid w:val="00CA7976"/>
    <w:rsid w:val="00CA79B1"/>
    <w:rsid w:val="00CB0510"/>
    <w:rsid w:val="00CB0987"/>
    <w:rsid w:val="00CB0B2D"/>
    <w:rsid w:val="00CB0E87"/>
    <w:rsid w:val="00CB1493"/>
    <w:rsid w:val="00CB14E1"/>
    <w:rsid w:val="00CB1CD9"/>
    <w:rsid w:val="00CB1F66"/>
    <w:rsid w:val="00CB2BA8"/>
    <w:rsid w:val="00CB3119"/>
    <w:rsid w:val="00CB3125"/>
    <w:rsid w:val="00CB319F"/>
    <w:rsid w:val="00CB3614"/>
    <w:rsid w:val="00CB3685"/>
    <w:rsid w:val="00CB4288"/>
    <w:rsid w:val="00CB452C"/>
    <w:rsid w:val="00CB4AC9"/>
    <w:rsid w:val="00CB4C02"/>
    <w:rsid w:val="00CB4DC8"/>
    <w:rsid w:val="00CB559C"/>
    <w:rsid w:val="00CB55B4"/>
    <w:rsid w:val="00CB5A0C"/>
    <w:rsid w:val="00CB61F7"/>
    <w:rsid w:val="00CB6395"/>
    <w:rsid w:val="00CB674E"/>
    <w:rsid w:val="00CB6783"/>
    <w:rsid w:val="00CB6D05"/>
    <w:rsid w:val="00CB785A"/>
    <w:rsid w:val="00CB797D"/>
    <w:rsid w:val="00CB7AE5"/>
    <w:rsid w:val="00CB7B8D"/>
    <w:rsid w:val="00CC0174"/>
    <w:rsid w:val="00CC0551"/>
    <w:rsid w:val="00CC0646"/>
    <w:rsid w:val="00CC1521"/>
    <w:rsid w:val="00CC1656"/>
    <w:rsid w:val="00CC1E83"/>
    <w:rsid w:val="00CC26B0"/>
    <w:rsid w:val="00CC2D47"/>
    <w:rsid w:val="00CC397F"/>
    <w:rsid w:val="00CC501A"/>
    <w:rsid w:val="00CC5164"/>
    <w:rsid w:val="00CC52C5"/>
    <w:rsid w:val="00CC53A5"/>
    <w:rsid w:val="00CC5870"/>
    <w:rsid w:val="00CC5BA9"/>
    <w:rsid w:val="00CC5D11"/>
    <w:rsid w:val="00CC5DC2"/>
    <w:rsid w:val="00CC61C2"/>
    <w:rsid w:val="00CC687B"/>
    <w:rsid w:val="00CC6B97"/>
    <w:rsid w:val="00CC7357"/>
    <w:rsid w:val="00CC73BE"/>
    <w:rsid w:val="00CC7E87"/>
    <w:rsid w:val="00CD000D"/>
    <w:rsid w:val="00CD00C1"/>
    <w:rsid w:val="00CD0CE6"/>
    <w:rsid w:val="00CD105A"/>
    <w:rsid w:val="00CD138F"/>
    <w:rsid w:val="00CD1407"/>
    <w:rsid w:val="00CD154A"/>
    <w:rsid w:val="00CD180E"/>
    <w:rsid w:val="00CD198C"/>
    <w:rsid w:val="00CD1E76"/>
    <w:rsid w:val="00CD2E26"/>
    <w:rsid w:val="00CD2E7F"/>
    <w:rsid w:val="00CD38BC"/>
    <w:rsid w:val="00CD38D8"/>
    <w:rsid w:val="00CD38DF"/>
    <w:rsid w:val="00CD39FC"/>
    <w:rsid w:val="00CD3DFA"/>
    <w:rsid w:val="00CD4121"/>
    <w:rsid w:val="00CD45AC"/>
    <w:rsid w:val="00CD45D1"/>
    <w:rsid w:val="00CD4648"/>
    <w:rsid w:val="00CD46A5"/>
    <w:rsid w:val="00CD48CE"/>
    <w:rsid w:val="00CD4CC2"/>
    <w:rsid w:val="00CD519C"/>
    <w:rsid w:val="00CD5499"/>
    <w:rsid w:val="00CD5ED7"/>
    <w:rsid w:val="00CD5F66"/>
    <w:rsid w:val="00CD6CBF"/>
    <w:rsid w:val="00CD7758"/>
    <w:rsid w:val="00CD7839"/>
    <w:rsid w:val="00CE0041"/>
    <w:rsid w:val="00CE0804"/>
    <w:rsid w:val="00CE0F08"/>
    <w:rsid w:val="00CE151B"/>
    <w:rsid w:val="00CE1A36"/>
    <w:rsid w:val="00CE238F"/>
    <w:rsid w:val="00CE23C3"/>
    <w:rsid w:val="00CE24F5"/>
    <w:rsid w:val="00CE280F"/>
    <w:rsid w:val="00CE2986"/>
    <w:rsid w:val="00CE2EE6"/>
    <w:rsid w:val="00CE332A"/>
    <w:rsid w:val="00CE397B"/>
    <w:rsid w:val="00CE3ED9"/>
    <w:rsid w:val="00CE4CA1"/>
    <w:rsid w:val="00CE4ED3"/>
    <w:rsid w:val="00CE4F76"/>
    <w:rsid w:val="00CE627A"/>
    <w:rsid w:val="00CE65C8"/>
    <w:rsid w:val="00CE6CAA"/>
    <w:rsid w:val="00CE6E9D"/>
    <w:rsid w:val="00CE7234"/>
    <w:rsid w:val="00CE7C8A"/>
    <w:rsid w:val="00CF092A"/>
    <w:rsid w:val="00CF0C35"/>
    <w:rsid w:val="00CF12E2"/>
    <w:rsid w:val="00CF1977"/>
    <w:rsid w:val="00CF2F13"/>
    <w:rsid w:val="00CF3072"/>
    <w:rsid w:val="00CF3855"/>
    <w:rsid w:val="00CF40E9"/>
    <w:rsid w:val="00CF45B6"/>
    <w:rsid w:val="00CF493B"/>
    <w:rsid w:val="00CF4A4D"/>
    <w:rsid w:val="00CF4B27"/>
    <w:rsid w:val="00CF5773"/>
    <w:rsid w:val="00CF57C5"/>
    <w:rsid w:val="00CF62B7"/>
    <w:rsid w:val="00CF6314"/>
    <w:rsid w:val="00CF6503"/>
    <w:rsid w:val="00CF65F9"/>
    <w:rsid w:val="00CF67F8"/>
    <w:rsid w:val="00CF6C0C"/>
    <w:rsid w:val="00CF71F2"/>
    <w:rsid w:val="00CF78B0"/>
    <w:rsid w:val="00CF7A2A"/>
    <w:rsid w:val="00CF7B01"/>
    <w:rsid w:val="00CF7CF2"/>
    <w:rsid w:val="00D0005B"/>
    <w:rsid w:val="00D00347"/>
    <w:rsid w:val="00D00517"/>
    <w:rsid w:val="00D00CDD"/>
    <w:rsid w:val="00D0101C"/>
    <w:rsid w:val="00D018A6"/>
    <w:rsid w:val="00D018C7"/>
    <w:rsid w:val="00D019F7"/>
    <w:rsid w:val="00D01E2C"/>
    <w:rsid w:val="00D02797"/>
    <w:rsid w:val="00D0280F"/>
    <w:rsid w:val="00D02A6A"/>
    <w:rsid w:val="00D02C9C"/>
    <w:rsid w:val="00D0306C"/>
    <w:rsid w:val="00D03E00"/>
    <w:rsid w:val="00D047BA"/>
    <w:rsid w:val="00D0491F"/>
    <w:rsid w:val="00D0529B"/>
    <w:rsid w:val="00D05D7A"/>
    <w:rsid w:val="00D05FC2"/>
    <w:rsid w:val="00D060DE"/>
    <w:rsid w:val="00D0658F"/>
    <w:rsid w:val="00D06DAC"/>
    <w:rsid w:val="00D073B6"/>
    <w:rsid w:val="00D0787E"/>
    <w:rsid w:val="00D07E18"/>
    <w:rsid w:val="00D1003E"/>
    <w:rsid w:val="00D10D17"/>
    <w:rsid w:val="00D114FB"/>
    <w:rsid w:val="00D11675"/>
    <w:rsid w:val="00D117CD"/>
    <w:rsid w:val="00D11A1E"/>
    <w:rsid w:val="00D11B82"/>
    <w:rsid w:val="00D11FB9"/>
    <w:rsid w:val="00D12317"/>
    <w:rsid w:val="00D12949"/>
    <w:rsid w:val="00D12AC3"/>
    <w:rsid w:val="00D12B61"/>
    <w:rsid w:val="00D130DF"/>
    <w:rsid w:val="00D131E0"/>
    <w:rsid w:val="00D14E65"/>
    <w:rsid w:val="00D150E2"/>
    <w:rsid w:val="00D1593A"/>
    <w:rsid w:val="00D16A54"/>
    <w:rsid w:val="00D16D40"/>
    <w:rsid w:val="00D16E01"/>
    <w:rsid w:val="00D17002"/>
    <w:rsid w:val="00D17BDB"/>
    <w:rsid w:val="00D20332"/>
    <w:rsid w:val="00D20352"/>
    <w:rsid w:val="00D20695"/>
    <w:rsid w:val="00D206F6"/>
    <w:rsid w:val="00D207D2"/>
    <w:rsid w:val="00D207EB"/>
    <w:rsid w:val="00D20870"/>
    <w:rsid w:val="00D21332"/>
    <w:rsid w:val="00D214D0"/>
    <w:rsid w:val="00D222AC"/>
    <w:rsid w:val="00D22D4B"/>
    <w:rsid w:val="00D234B6"/>
    <w:rsid w:val="00D2451D"/>
    <w:rsid w:val="00D248B3"/>
    <w:rsid w:val="00D24DAC"/>
    <w:rsid w:val="00D25242"/>
    <w:rsid w:val="00D2594A"/>
    <w:rsid w:val="00D26995"/>
    <w:rsid w:val="00D26A30"/>
    <w:rsid w:val="00D26A84"/>
    <w:rsid w:val="00D2741A"/>
    <w:rsid w:val="00D27458"/>
    <w:rsid w:val="00D274D4"/>
    <w:rsid w:val="00D27B69"/>
    <w:rsid w:val="00D27C8A"/>
    <w:rsid w:val="00D27ED6"/>
    <w:rsid w:val="00D30204"/>
    <w:rsid w:val="00D302B7"/>
    <w:rsid w:val="00D307F2"/>
    <w:rsid w:val="00D31459"/>
    <w:rsid w:val="00D31C0E"/>
    <w:rsid w:val="00D31D54"/>
    <w:rsid w:val="00D32487"/>
    <w:rsid w:val="00D32A8E"/>
    <w:rsid w:val="00D32BBE"/>
    <w:rsid w:val="00D32E09"/>
    <w:rsid w:val="00D335FC"/>
    <w:rsid w:val="00D33831"/>
    <w:rsid w:val="00D33E69"/>
    <w:rsid w:val="00D33EA2"/>
    <w:rsid w:val="00D34247"/>
    <w:rsid w:val="00D34323"/>
    <w:rsid w:val="00D345E7"/>
    <w:rsid w:val="00D34983"/>
    <w:rsid w:val="00D34B19"/>
    <w:rsid w:val="00D34B57"/>
    <w:rsid w:val="00D34D4D"/>
    <w:rsid w:val="00D3529F"/>
    <w:rsid w:val="00D355DF"/>
    <w:rsid w:val="00D357B0"/>
    <w:rsid w:val="00D358C9"/>
    <w:rsid w:val="00D365FA"/>
    <w:rsid w:val="00D4015F"/>
    <w:rsid w:val="00D40294"/>
    <w:rsid w:val="00D403EA"/>
    <w:rsid w:val="00D40B42"/>
    <w:rsid w:val="00D40CD2"/>
    <w:rsid w:val="00D40F94"/>
    <w:rsid w:val="00D412B4"/>
    <w:rsid w:val="00D41489"/>
    <w:rsid w:val="00D4163C"/>
    <w:rsid w:val="00D419D2"/>
    <w:rsid w:val="00D41F47"/>
    <w:rsid w:val="00D4201D"/>
    <w:rsid w:val="00D423C0"/>
    <w:rsid w:val="00D424B0"/>
    <w:rsid w:val="00D42751"/>
    <w:rsid w:val="00D4294F"/>
    <w:rsid w:val="00D42A6B"/>
    <w:rsid w:val="00D42E20"/>
    <w:rsid w:val="00D42E29"/>
    <w:rsid w:val="00D4305E"/>
    <w:rsid w:val="00D43074"/>
    <w:rsid w:val="00D430C4"/>
    <w:rsid w:val="00D43C26"/>
    <w:rsid w:val="00D43F58"/>
    <w:rsid w:val="00D4416C"/>
    <w:rsid w:val="00D445C2"/>
    <w:rsid w:val="00D44FC7"/>
    <w:rsid w:val="00D455C7"/>
    <w:rsid w:val="00D46310"/>
    <w:rsid w:val="00D46F90"/>
    <w:rsid w:val="00D50099"/>
    <w:rsid w:val="00D502A2"/>
    <w:rsid w:val="00D50B81"/>
    <w:rsid w:val="00D51E87"/>
    <w:rsid w:val="00D52165"/>
    <w:rsid w:val="00D523EC"/>
    <w:rsid w:val="00D52E43"/>
    <w:rsid w:val="00D531D9"/>
    <w:rsid w:val="00D537FC"/>
    <w:rsid w:val="00D53C43"/>
    <w:rsid w:val="00D54549"/>
    <w:rsid w:val="00D54EE2"/>
    <w:rsid w:val="00D55BDA"/>
    <w:rsid w:val="00D560CE"/>
    <w:rsid w:val="00D561C7"/>
    <w:rsid w:val="00D56335"/>
    <w:rsid w:val="00D56795"/>
    <w:rsid w:val="00D56A07"/>
    <w:rsid w:val="00D5715C"/>
    <w:rsid w:val="00D60BDD"/>
    <w:rsid w:val="00D61155"/>
    <w:rsid w:val="00D61382"/>
    <w:rsid w:val="00D613F4"/>
    <w:rsid w:val="00D61DEF"/>
    <w:rsid w:val="00D621DF"/>
    <w:rsid w:val="00D624EA"/>
    <w:rsid w:val="00D62D9B"/>
    <w:rsid w:val="00D63790"/>
    <w:rsid w:val="00D6390C"/>
    <w:rsid w:val="00D63A66"/>
    <w:rsid w:val="00D6434E"/>
    <w:rsid w:val="00D643F0"/>
    <w:rsid w:val="00D644C5"/>
    <w:rsid w:val="00D645E3"/>
    <w:rsid w:val="00D646AF"/>
    <w:rsid w:val="00D65051"/>
    <w:rsid w:val="00D65561"/>
    <w:rsid w:val="00D65613"/>
    <w:rsid w:val="00D65C76"/>
    <w:rsid w:val="00D6603C"/>
    <w:rsid w:val="00D6694B"/>
    <w:rsid w:val="00D66CC3"/>
    <w:rsid w:val="00D66E1A"/>
    <w:rsid w:val="00D6758A"/>
    <w:rsid w:val="00D67879"/>
    <w:rsid w:val="00D67BBB"/>
    <w:rsid w:val="00D67E07"/>
    <w:rsid w:val="00D67FB5"/>
    <w:rsid w:val="00D7001B"/>
    <w:rsid w:val="00D7020C"/>
    <w:rsid w:val="00D70692"/>
    <w:rsid w:val="00D70F9E"/>
    <w:rsid w:val="00D716D3"/>
    <w:rsid w:val="00D71702"/>
    <w:rsid w:val="00D73063"/>
    <w:rsid w:val="00D735FE"/>
    <w:rsid w:val="00D73B60"/>
    <w:rsid w:val="00D73C51"/>
    <w:rsid w:val="00D73C6C"/>
    <w:rsid w:val="00D73D24"/>
    <w:rsid w:val="00D73F20"/>
    <w:rsid w:val="00D74B9D"/>
    <w:rsid w:val="00D752EA"/>
    <w:rsid w:val="00D7548A"/>
    <w:rsid w:val="00D75633"/>
    <w:rsid w:val="00D7584C"/>
    <w:rsid w:val="00D75E17"/>
    <w:rsid w:val="00D777AD"/>
    <w:rsid w:val="00D77CB9"/>
    <w:rsid w:val="00D77D36"/>
    <w:rsid w:val="00D8013F"/>
    <w:rsid w:val="00D80872"/>
    <w:rsid w:val="00D80955"/>
    <w:rsid w:val="00D80A32"/>
    <w:rsid w:val="00D80CC7"/>
    <w:rsid w:val="00D80F4F"/>
    <w:rsid w:val="00D81337"/>
    <w:rsid w:val="00D82B88"/>
    <w:rsid w:val="00D82F1E"/>
    <w:rsid w:val="00D830F6"/>
    <w:rsid w:val="00D83141"/>
    <w:rsid w:val="00D83A31"/>
    <w:rsid w:val="00D84060"/>
    <w:rsid w:val="00D841BC"/>
    <w:rsid w:val="00D84231"/>
    <w:rsid w:val="00D84922"/>
    <w:rsid w:val="00D84F37"/>
    <w:rsid w:val="00D850B6"/>
    <w:rsid w:val="00D85151"/>
    <w:rsid w:val="00D86CF4"/>
    <w:rsid w:val="00D87070"/>
    <w:rsid w:val="00D9087D"/>
    <w:rsid w:val="00D90A32"/>
    <w:rsid w:val="00D90AF1"/>
    <w:rsid w:val="00D916EE"/>
    <w:rsid w:val="00D91824"/>
    <w:rsid w:val="00D91A00"/>
    <w:rsid w:val="00D91F1E"/>
    <w:rsid w:val="00D92202"/>
    <w:rsid w:val="00D926F3"/>
    <w:rsid w:val="00D92833"/>
    <w:rsid w:val="00D92D1A"/>
    <w:rsid w:val="00D93B94"/>
    <w:rsid w:val="00D93D64"/>
    <w:rsid w:val="00D93EC7"/>
    <w:rsid w:val="00D948FF"/>
    <w:rsid w:val="00D94A2F"/>
    <w:rsid w:val="00D94D45"/>
    <w:rsid w:val="00D954C5"/>
    <w:rsid w:val="00D95582"/>
    <w:rsid w:val="00D955D5"/>
    <w:rsid w:val="00D95797"/>
    <w:rsid w:val="00D95E28"/>
    <w:rsid w:val="00D962E6"/>
    <w:rsid w:val="00D9650D"/>
    <w:rsid w:val="00D9692F"/>
    <w:rsid w:val="00D9769B"/>
    <w:rsid w:val="00D97A12"/>
    <w:rsid w:val="00DA08D8"/>
    <w:rsid w:val="00DA0B86"/>
    <w:rsid w:val="00DA1243"/>
    <w:rsid w:val="00DA1544"/>
    <w:rsid w:val="00DA1556"/>
    <w:rsid w:val="00DA1A1F"/>
    <w:rsid w:val="00DA1BD8"/>
    <w:rsid w:val="00DA1CF7"/>
    <w:rsid w:val="00DA2146"/>
    <w:rsid w:val="00DA24A9"/>
    <w:rsid w:val="00DA2A47"/>
    <w:rsid w:val="00DA307A"/>
    <w:rsid w:val="00DA338D"/>
    <w:rsid w:val="00DA355A"/>
    <w:rsid w:val="00DA3A04"/>
    <w:rsid w:val="00DA3DD7"/>
    <w:rsid w:val="00DA4453"/>
    <w:rsid w:val="00DA47D2"/>
    <w:rsid w:val="00DA4B38"/>
    <w:rsid w:val="00DA4BE0"/>
    <w:rsid w:val="00DA5207"/>
    <w:rsid w:val="00DA5887"/>
    <w:rsid w:val="00DA5B72"/>
    <w:rsid w:val="00DA5C79"/>
    <w:rsid w:val="00DA62B5"/>
    <w:rsid w:val="00DA6334"/>
    <w:rsid w:val="00DA6E93"/>
    <w:rsid w:val="00DA7CB0"/>
    <w:rsid w:val="00DB0808"/>
    <w:rsid w:val="00DB09A8"/>
    <w:rsid w:val="00DB0DFD"/>
    <w:rsid w:val="00DB0F07"/>
    <w:rsid w:val="00DB10C6"/>
    <w:rsid w:val="00DB127E"/>
    <w:rsid w:val="00DB1664"/>
    <w:rsid w:val="00DB1745"/>
    <w:rsid w:val="00DB1A5B"/>
    <w:rsid w:val="00DB1AAD"/>
    <w:rsid w:val="00DB1AC6"/>
    <w:rsid w:val="00DB1FED"/>
    <w:rsid w:val="00DB249D"/>
    <w:rsid w:val="00DB2E80"/>
    <w:rsid w:val="00DB3130"/>
    <w:rsid w:val="00DB340B"/>
    <w:rsid w:val="00DB370B"/>
    <w:rsid w:val="00DB392F"/>
    <w:rsid w:val="00DB44F7"/>
    <w:rsid w:val="00DB4D5E"/>
    <w:rsid w:val="00DB5C55"/>
    <w:rsid w:val="00DB643F"/>
    <w:rsid w:val="00DB6F11"/>
    <w:rsid w:val="00DB70AA"/>
    <w:rsid w:val="00DB723D"/>
    <w:rsid w:val="00DB73C5"/>
    <w:rsid w:val="00DB7C16"/>
    <w:rsid w:val="00DC001A"/>
    <w:rsid w:val="00DC07CF"/>
    <w:rsid w:val="00DC0A1D"/>
    <w:rsid w:val="00DC0F89"/>
    <w:rsid w:val="00DC1604"/>
    <w:rsid w:val="00DC1768"/>
    <w:rsid w:val="00DC213D"/>
    <w:rsid w:val="00DC236B"/>
    <w:rsid w:val="00DC2467"/>
    <w:rsid w:val="00DC28FE"/>
    <w:rsid w:val="00DC2A34"/>
    <w:rsid w:val="00DC2CC2"/>
    <w:rsid w:val="00DC36FE"/>
    <w:rsid w:val="00DC37A2"/>
    <w:rsid w:val="00DC3ECA"/>
    <w:rsid w:val="00DC4259"/>
    <w:rsid w:val="00DC458B"/>
    <w:rsid w:val="00DC49E6"/>
    <w:rsid w:val="00DC4EFE"/>
    <w:rsid w:val="00DC5055"/>
    <w:rsid w:val="00DC51F2"/>
    <w:rsid w:val="00DC54A7"/>
    <w:rsid w:val="00DC578B"/>
    <w:rsid w:val="00DC6907"/>
    <w:rsid w:val="00DC6E7A"/>
    <w:rsid w:val="00DC7054"/>
    <w:rsid w:val="00DC72FE"/>
    <w:rsid w:val="00DC76AD"/>
    <w:rsid w:val="00DC7A70"/>
    <w:rsid w:val="00DC7BAF"/>
    <w:rsid w:val="00DC7ECB"/>
    <w:rsid w:val="00DD03A7"/>
    <w:rsid w:val="00DD04D3"/>
    <w:rsid w:val="00DD1505"/>
    <w:rsid w:val="00DD1575"/>
    <w:rsid w:val="00DD1A8E"/>
    <w:rsid w:val="00DD251F"/>
    <w:rsid w:val="00DD265B"/>
    <w:rsid w:val="00DD31A2"/>
    <w:rsid w:val="00DD3568"/>
    <w:rsid w:val="00DD3A8B"/>
    <w:rsid w:val="00DD3BD4"/>
    <w:rsid w:val="00DD45FD"/>
    <w:rsid w:val="00DD4EC8"/>
    <w:rsid w:val="00DD511C"/>
    <w:rsid w:val="00DD5690"/>
    <w:rsid w:val="00DD5FA6"/>
    <w:rsid w:val="00DD6A42"/>
    <w:rsid w:val="00DD6FAF"/>
    <w:rsid w:val="00DE0423"/>
    <w:rsid w:val="00DE0884"/>
    <w:rsid w:val="00DE089B"/>
    <w:rsid w:val="00DE0F64"/>
    <w:rsid w:val="00DE1012"/>
    <w:rsid w:val="00DE1083"/>
    <w:rsid w:val="00DE12D7"/>
    <w:rsid w:val="00DE1554"/>
    <w:rsid w:val="00DE1E83"/>
    <w:rsid w:val="00DE32F4"/>
    <w:rsid w:val="00DE3614"/>
    <w:rsid w:val="00DE3A90"/>
    <w:rsid w:val="00DE3CD9"/>
    <w:rsid w:val="00DE4C91"/>
    <w:rsid w:val="00DE5AD5"/>
    <w:rsid w:val="00DE61EE"/>
    <w:rsid w:val="00DE6E26"/>
    <w:rsid w:val="00DE700E"/>
    <w:rsid w:val="00DE7E35"/>
    <w:rsid w:val="00DF0A80"/>
    <w:rsid w:val="00DF0B38"/>
    <w:rsid w:val="00DF0B8E"/>
    <w:rsid w:val="00DF0E0D"/>
    <w:rsid w:val="00DF1015"/>
    <w:rsid w:val="00DF1132"/>
    <w:rsid w:val="00DF1305"/>
    <w:rsid w:val="00DF14E0"/>
    <w:rsid w:val="00DF174F"/>
    <w:rsid w:val="00DF19C9"/>
    <w:rsid w:val="00DF1D4C"/>
    <w:rsid w:val="00DF1D5C"/>
    <w:rsid w:val="00DF26C7"/>
    <w:rsid w:val="00DF27F7"/>
    <w:rsid w:val="00DF34D4"/>
    <w:rsid w:val="00DF3674"/>
    <w:rsid w:val="00DF3B59"/>
    <w:rsid w:val="00DF3DB5"/>
    <w:rsid w:val="00DF3E7C"/>
    <w:rsid w:val="00DF42EE"/>
    <w:rsid w:val="00DF4A2D"/>
    <w:rsid w:val="00DF52E2"/>
    <w:rsid w:val="00DF5469"/>
    <w:rsid w:val="00DF6A79"/>
    <w:rsid w:val="00DF77B3"/>
    <w:rsid w:val="00DF7F77"/>
    <w:rsid w:val="00E00577"/>
    <w:rsid w:val="00E009A1"/>
    <w:rsid w:val="00E00E4A"/>
    <w:rsid w:val="00E018FA"/>
    <w:rsid w:val="00E01CC7"/>
    <w:rsid w:val="00E01D4D"/>
    <w:rsid w:val="00E023A5"/>
    <w:rsid w:val="00E0295B"/>
    <w:rsid w:val="00E033BA"/>
    <w:rsid w:val="00E037DB"/>
    <w:rsid w:val="00E03C8E"/>
    <w:rsid w:val="00E03CF6"/>
    <w:rsid w:val="00E03E19"/>
    <w:rsid w:val="00E041CA"/>
    <w:rsid w:val="00E045D9"/>
    <w:rsid w:val="00E04CD3"/>
    <w:rsid w:val="00E05366"/>
    <w:rsid w:val="00E060B5"/>
    <w:rsid w:val="00E06250"/>
    <w:rsid w:val="00E0638A"/>
    <w:rsid w:val="00E063AF"/>
    <w:rsid w:val="00E068B0"/>
    <w:rsid w:val="00E0692A"/>
    <w:rsid w:val="00E06985"/>
    <w:rsid w:val="00E06FE4"/>
    <w:rsid w:val="00E0722D"/>
    <w:rsid w:val="00E078DA"/>
    <w:rsid w:val="00E07A08"/>
    <w:rsid w:val="00E1090D"/>
    <w:rsid w:val="00E1092B"/>
    <w:rsid w:val="00E10A4D"/>
    <w:rsid w:val="00E10BB4"/>
    <w:rsid w:val="00E10C82"/>
    <w:rsid w:val="00E11F40"/>
    <w:rsid w:val="00E127D9"/>
    <w:rsid w:val="00E12897"/>
    <w:rsid w:val="00E12E54"/>
    <w:rsid w:val="00E1338C"/>
    <w:rsid w:val="00E13757"/>
    <w:rsid w:val="00E14CAA"/>
    <w:rsid w:val="00E14E1D"/>
    <w:rsid w:val="00E14F56"/>
    <w:rsid w:val="00E15B51"/>
    <w:rsid w:val="00E15C8C"/>
    <w:rsid w:val="00E163D9"/>
    <w:rsid w:val="00E168A0"/>
    <w:rsid w:val="00E16BE1"/>
    <w:rsid w:val="00E17109"/>
    <w:rsid w:val="00E17220"/>
    <w:rsid w:val="00E172A5"/>
    <w:rsid w:val="00E17324"/>
    <w:rsid w:val="00E1751D"/>
    <w:rsid w:val="00E1770B"/>
    <w:rsid w:val="00E17D18"/>
    <w:rsid w:val="00E20D4D"/>
    <w:rsid w:val="00E21B05"/>
    <w:rsid w:val="00E22D04"/>
    <w:rsid w:val="00E2337E"/>
    <w:rsid w:val="00E23621"/>
    <w:rsid w:val="00E238A5"/>
    <w:rsid w:val="00E2420C"/>
    <w:rsid w:val="00E24E45"/>
    <w:rsid w:val="00E2560F"/>
    <w:rsid w:val="00E26187"/>
    <w:rsid w:val="00E26F0E"/>
    <w:rsid w:val="00E27183"/>
    <w:rsid w:val="00E2754D"/>
    <w:rsid w:val="00E27CE5"/>
    <w:rsid w:val="00E27DA5"/>
    <w:rsid w:val="00E30096"/>
    <w:rsid w:val="00E30218"/>
    <w:rsid w:val="00E30658"/>
    <w:rsid w:val="00E308D4"/>
    <w:rsid w:val="00E30BFD"/>
    <w:rsid w:val="00E3139B"/>
    <w:rsid w:val="00E315A2"/>
    <w:rsid w:val="00E32241"/>
    <w:rsid w:val="00E32806"/>
    <w:rsid w:val="00E32932"/>
    <w:rsid w:val="00E32D82"/>
    <w:rsid w:val="00E3326D"/>
    <w:rsid w:val="00E335DA"/>
    <w:rsid w:val="00E33ADA"/>
    <w:rsid w:val="00E33BC3"/>
    <w:rsid w:val="00E34B1B"/>
    <w:rsid w:val="00E350AE"/>
    <w:rsid w:val="00E357C4"/>
    <w:rsid w:val="00E36736"/>
    <w:rsid w:val="00E36B4A"/>
    <w:rsid w:val="00E3713E"/>
    <w:rsid w:val="00E37696"/>
    <w:rsid w:val="00E37773"/>
    <w:rsid w:val="00E37927"/>
    <w:rsid w:val="00E37EF6"/>
    <w:rsid w:val="00E403DB"/>
    <w:rsid w:val="00E40DE1"/>
    <w:rsid w:val="00E41DE0"/>
    <w:rsid w:val="00E41E05"/>
    <w:rsid w:val="00E427CA"/>
    <w:rsid w:val="00E42F14"/>
    <w:rsid w:val="00E42F24"/>
    <w:rsid w:val="00E433A3"/>
    <w:rsid w:val="00E43499"/>
    <w:rsid w:val="00E43EC4"/>
    <w:rsid w:val="00E442A5"/>
    <w:rsid w:val="00E445C9"/>
    <w:rsid w:val="00E44CB2"/>
    <w:rsid w:val="00E453EF"/>
    <w:rsid w:val="00E454D7"/>
    <w:rsid w:val="00E456C1"/>
    <w:rsid w:val="00E45861"/>
    <w:rsid w:val="00E4606B"/>
    <w:rsid w:val="00E463BE"/>
    <w:rsid w:val="00E46528"/>
    <w:rsid w:val="00E4672C"/>
    <w:rsid w:val="00E468F6"/>
    <w:rsid w:val="00E46C08"/>
    <w:rsid w:val="00E472EF"/>
    <w:rsid w:val="00E47304"/>
    <w:rsid w:val="00E475AE"/>
    <w:rsid w:val="00E47691"/>
    <w:rsid w:val="00E476AC"/>
    <w:rsid w:val="00E4781D"/>
    <w:rsid w:val="00E47B86"/>
    <w:rsid w:val="00E47E40"/>
    <w:rsid w:val="00E50868"/>
    <w:rsid w:val="00E50971"/>
    <w:rsid w:val="00E51418"/>
    <w:rsid w:val="00E51459"/>
    <w:rsid w:val="00E516D3"/>
    <w:rsid w:val="00E53059"/>
    <w:rsid w:val="00E53502"/>
    <w:rsid w:val="00E53BA8"/>
    <w:rsid w:val="00E5413A"/>
    <w:rsid w:val="00E54211"/>
    <w:rsid w:val="00E54633"/>
    <w:rsid w:val="00E54DDA"/>
    <w:rsid w:val="00E56335"/>
    <w:rsid w:val="00E564A7"/>
    <w:rsid w:val="00E564B7"/>
    <w:rsid w:val="00E56596"/>
    <w:rsid w:val="00E5686A"/>
    <w:rsid w:val="00E56C7E"/>
    <w:rsid w:val="00E57217"/>
    <w:rsid w:val="00E5776F"/>
    <w:rsid w:val="00E57BB4"/>
    <w:rsid w:val="00E57EF7"/>
    <w:rsid w:val="00E603ED"/>
    <w:rsid w:val="00E60EEA"/>
    <w:rsid w:val="00E6116A"/>
    <w:rsid w:val="00E61D3F"/>
    <w:rsid w:val="00E61D91"/>
    <w:rsid w:val="00E6234F"/>
    <w:rsid w:val="00E62ECA"/>
    <w:rsid w:val="00E63445"/>
    <w:rsid w:val="00E6360B"/>
    <w:rsid w:val="00E638F5"/>
    <w:rsid w:val="00E63FF5"/>
    <w:rsid w:val="00E64251"/>
    <w:rsid w:val="00E6485F"/>
    <w:rsid w:val="00E64876"/>
    <w:rsid w:val="00E649DC"/>
    <w:rsid w:val="00E64EE7"/>
    <w:rsid w:val="00E65964"/>
    <w:rsid w:val="00E66311"/>
    <w:rsid w:val="00E665F3"/>
    <w:rsid w:val="00E66BB2"/>
    <w:rsid w:val="00E673F7"/>
    <w:rsid w:val="00E67FE8"/>
    <w:rsid w:val="00E70366"/>
    <w:rsid w:val="00E706F6"/>
    <w:rsid w:val="00E708C7"/>
    <w:rsid w:val="00E7095E"/>
    <w:rsid w:val="00E7145F"/>
    <w:rsid w:val="00E71977"/>
    <w:rsid w:val="00E719BB"/>
    <w:rsid w:val="00E71A86"/>
    <w:rsid w:val="00E71F6B"/>
    <w:rsid w:val="00E72117"/>
    <w:rsid w:val="00E72A63"/>
    <w:rsid w:val="00E72FB2"/>
    <w:rsid w:val="00E73235"/>
    <w:rsid w:val="00E7372D"/>
    <w:rsid w:val="00E73735"/>
    <w:rsid w:val="00E73CA7"/>
    <w:rsid w:val="00E7439E"/>
    <w:rsid w:val="00E746EA"/>
    <w:rsid w:val="00E74A00"/>
    <w:rsid w:val="00E74ACE"/>
    <w:rsid w:val="00E750F0"/>
    <w:rsid w:val="00E752D5"/>
    <w:rsid w:val="00E75887"/>
    <w:rsid w:val="00E75E03"/>
    <w:rsid w:val="00E76357"/>
    <w:rsid w:val="00E763F3"/>
    <w:rsid w:val="00E76E1F"/>
    <w:rsid w:val="00E76E5D"/>
    <w:rsid w:val="00E7732C"/>
    <w:rsid w:val="00E77509"/>
    <w:rsid w:val="00E77B43"/>
    <w:rsid w:val="00E77CC8"/>
    <w:rsid w:val="00E77EB7"/>
    <w:rsid w:val="00E80E71"/>
    <w:rsid w:val="00E811EE"/>
    <w:rsid w:val="00E811F3"/>
    <w:rsid w:val="00E813AA"/>
    <w:rsid w:val="00E8145A"/>
    <w:rsid w:val="00E817B6"/>
    <w:rsid w:val="00E81A06"/>
    <w:rsid w:val="00E81D6C"/>
    <w:rsid w:val="00E82645"/>
    <w:rsid w:val="00E82E28"/>
    <w:rsid w:val="00E8316D"/>
    <w:rsid w:val="00E831B3"/>
    <w:rsid w:val="00E83CCE"/>
    <w:rsid w:val="00E848C5"/>
    <w:rsid w:val="00E84F59"/>
    <w:rsid w:val="00E85795"/>
    <w:rsid w:val="00E85A7F"/>
    <w:rsid w:val="00E860DA"/>
    <w:rsid w:val="00E86101"/>
    <w:rsid w:val="00E864FD"/>
    <w:rsid w:val="00E86575"/>
    <w:rsid w:val="00E86785"/>
    <w:rsid w:val="00E8681C"/>
    <w:rsid w:val="00E870B5"/>
    <w:rsid w:val="00E870F8"/>
    <w:rsid w:val="00E87AF9"/>
    <w:rsid w:val="00E87D61"/>
    <w:rsid w:val="00E87D87"/>
    <w:rsid w:val="00E901A6"/>
    <w:rsid w:val="00E908C4"/>
    <w:rsid w:val="00E91767"/>
    <w:rsid w:val="00E91B14"/>
    <w:rsid w:val="00E927DC"/>
    <w:rsid w:val="00E928B2"/>
    <w:rsid w:val="00E9349A"/>
    <w:rsid w:val="00E9374C"/>
    <w:rsid w:val="00E939A8"/>
    <w:rsid w:val="00E9427A"/>
    <w:rsid w:val="00E944A0"/>
    <w:rsid w:val="00E94C2F"/>
    <w:rsid w:val="00E94C6D"/>
    <w:rsid w:val="00E950C5"/>
    <w:rsid w:val="00E95350"/>
    <w:rsid w:val="00E957C0"/>
    <w:rsid w:val="00E95955"/>
    <w:rsid w:val="00E9600B"/>
    <w:rsid w:val="00E96865"/>
    <w:rsid w:val="00E968BA"/>
    <w:rsid w:val="00E97713"/>
    <w:rsid w:val="00EA00CE"/>
    <w:rsid w:val="00EA00FA"/>
    <w:rsid w:val="00EA076B"/>
    <w:rsid w:val="00EA0B09"/>
    <w:rsid w:val="00EA1318"/>
    <w:rsid w:val="00EA13B2"/>
    <w:rsid w:val="00EA1714"/>
    <w:rsid w:val="00EA1A06"/>
    <w:rsid w:val="00EA1FAB"/>
    <w:rsid w:val="00EA27A6"/>
    <w:rsid w:val="00EA2D77"/>
    <w:rsid w:val="00EA3E89"/>
    <w:rsid w:val="00EA3F31"/>
    <w:rsid w:val="00EA445F"/>
    <w:rsid w:val="00EA44CE"/>
    <w:rsid w:val="00EA47C7"/>
    <w:rsid w:val="00EA494F"/>
    <w:rsid w:val="00EA519B"/>
    <w:rsid w:val="00EA51DC"/>
    <w:rsid w:val="00EA6E11"/>
    <w:rsid w:val="00EA6EC5"/>
    <w:rsid w:val="00EA755A"/>
    <w:rsid w:val="00EA79FE"/>
    <w:rsid w:val="00EB0B28"/>
    <w:rsid w:val="00EB0DC1"/>
    <w:rsid w:val="00EB0E61"/>
    <w:rsid w:val="00EB0F5B"/>
    <w:rsid w:val="00EB1A31"/>
    <w:rsid w:val="00EB1C8D"/>
    <w:rsid w:val="00EB2FC2"/>
    <w:rsid w:val="00EB3ABF"/>
    <w:rsid w:val="00EB3DA9"/>
    <w:rsid w:val="00EB3E9E"/>
    <w:rsid w:val="00EB40A1"/>
    <w:rsid w:val="00EB46D6"/>
    <w:rsid w:val="00EB4C57"/>
    <w:rsid w:val="00EB4CC2"/>
    <w:rsid w:val="00EB4CEE"/>
    <w:rsid w:val="00EB4F87"/>
    <w:rsid w:val="00EB5549"/>
    <w:rsid w:val="00EB5B21"/>
    <w:rsid w:val="00EB5BC7"/>
    <w:rsid w:val="00EB6932"/>
    <w:rsid w:val="00EB697F"/>
    <w:rsid w:val="00EB6AA5"/>
    <w:rsid w:val="00EB7ADF"/>
    <w:rsid w:val="00EB7CA2"/>
    <w:rsid w:val="00EC00F0"/>
    <w:rsid w:val="00EC0296"/>
    <w:rsid w:val="00EC0695"/>
    <w:rsid w:val="00EC0733"/>
    <w:rsid w:val="00EC0CEF"/>
    <w:rsid w:val="00EC0F17"/>
    <w:rsid w:val="00EC166F"/>
    <w:rsid w:val="00EC1ADC"/>
    <w:rsid w:val="00EC365D"/>
    <w:rsid w:val="00EC5451"/>
    <w:rsid w:val="00EC5FD4"/>
    <w:rsid w:val="00EC65A4"/>
    <w:rsid w:val="00EC69C2"/>
    <w:rsid w:val="00EC7749"/>
    <w:rsid w:val="00ED0070"/>
    <w:rsid w:val="00ED0BAB"/>
    <w:rsid w:val="00ED0F84"/>
    <w:rsid w:val="00ED173B"/>
    <w:rsid w:val="00ED19ED"/>
    <w:rsid w:val="00ED26FB"/>
    <w:rsid w:val="00ED2CF1"/>
    <w:rsid w:val="00ED30A1"/>
    <w:rsid w:val="00ED37FE"/>
    <w:rsid w:val="00ED4408"/>
    <w:rsid w:val="00ED46AC"/>
    <w:rsid w:val="00ED498F"/>
    <w:rsid w:val="00ED6F1C"/>
    <w:rsid w:val="00ED6FA8"/>
    <w:rsid w:val="00ED726A"/>
    <w:rsid w:val="00ED7AD0"/>
    <w:rsid w:val="00EE0B84"/>
    <w:rsid w:val="00EE1039"/>
    <w:rsid w:val="00EE14FF"/>
    <w:rsid w:val="00EE15B6"/>
    <w:rsid w:val="00EE2080"/>
    <w:rsid w:val="00EE246F"/>
    <w:rsid w:val="00EE2F54"/>
    <w:rsid w:val="00EE37A5"/>
    <w:rsid w:val="00EE3C59"/>
    <w:rsid w:val="00EE3E04"/>
    <w:rsid w:val="00EE3F2B"/>
    <w:rsid w:val="00EE46EA"/>
    <w:rsid w:val="00EE4785"/>
    <w:rsid w:val="00EE4C01"/>
    <w:rsid w:val="00EE4DB4"/>
    <w:rsid w:val="00EE52DE"/>
    <w:rsid w:val="00EE55C0"/>
    <w:rsid w:val="00EE595C"/>
    <w:rsid w:val="00EE5EEE"/>
    <w:rsid w:val="00EE669D"/>
    <w:rsid w:val="00EE6AA6"/>
    <w:rsid w:val="00EE6B47"/>
    <w:rsid w:val="00EE7939"/>
    <w:rsid w:val="00EE7976"/>
    <w:rsid w:val="00EF07DE"/>
    <w:rsid w:val="00EF0C9E"/>
    <w:rsid w:val="00EF0E07"/>
    <w:rsid w:val="00EF0E7B"/>
    <w:rsid w:val="00EF0F74"/>
    <w:rsid w:val="00EF141D"/>
    <w:rsid w:val="00EF1A12"/>
    <w:rsid w:val="00EF1F44"/>
    <w:rsid w:val="00EF2032"/>
    <w:rsid w:val="00EF22A7"/>
    <w:rsid w:val="00EF2308"/>
    <w:rsid w:val="00EF23D5"/>
    <w:rsid w:val="00EF2716"/>
    <w:rsid w:val="00EF2CF7"/>
    <w:rsid w:val="00EF30CE"/>
    <w:rsid w:val="00EF338A"/>
    <w:rsid w:val="00EF58A4"/>
    <w:rsid w:val="00EF5A1A"/>
    <w:rsid w:val="00EF5A60"/>
    <w:rsid w:val="00EF5B73"/>
    <w:rsid w:val="00EF5C08"/>
    <w:rsid w:val="00EF63E0"/>
    <w:rsid w:val="00EF6EE9"/>
    <w:rsid w:val="00EF6F56"/>
    <w:rsid w:val="00EF70F9"/>
    <w:rsid w:val="00EF746B"/>
    <w:rsid w:val="00EF75E7"/>
    <w:rsid w:val="00EF7913"/>
    <w:rsid w:val="00EF7A0F"/>
    <w:rsid w:val="00F000FD"/>
    <w:rsid w:val="00F004ED"/>
    <w:rsid w:val="00F0093B"/>
    <w:rsid w:val="00F00D03"/>
    <w:rsid w:val="00F00F49"/>
    <w:rsid w:val="00F0120F"/>
    <w:rsid w:val="00F01D04"/>
    <w:rsid w:val="00F02170"/>
    <w:rsid w:val="00F02462"/>
    <w:rsid w:val="00F02798"/>
    <w:rsid w:val="00F027DD"/>
    <w:rsid w:val="00F02C58"/>
    <w:rsid w:val="00F03495"/>
    <w:rsid w:val="00F036D8"/>
    <w:rsid w:val="00F04035"/>
    <w:rsid w:val="00F044B8"/>
    <w:rsid w:val="00F046CF"/>
    <w:rsid w:val="00F0492A"/>
    <w:rsid w:val="00F04DA5"/>
    <w:rsid w:val="00F04F7D"/>
    <w:rsid w:val="00F05173"/>
    <w:rsid w:val="00F053BD"/>
    <w:rsid w:val="00F0631A"/>
    <w:rsid w:val="00F06851"/>
    <w:rsid w:val="00F069E1"/>
    <w:rsid w:val="00F06ACE"/>
    <w:rsid w:val="00F0754D"/>
    <w:rsid w:val="00F10048"/>
    <w:rsid w:val="00F10386"/>
    <w:rsid w:val="00F10572"/>
    <w:rsid w:val="00F10A9E"/>
    <w:rsid w:val="00F10E56"/>
    <w:rsid w:val="00F1115E"/>
    <w:rsid w:val="00F11DD1"/>
    <w:rsid w:val="00F12239"/>
    <w:rsid w:val="00F12312"/>
    <w:rsid w:val="00F12394"/>
    <w:rsid w:val="00F1254A"/>
    <w:rsid w:val="00F128F0"/>
    <w:rsid w:val="00F12EB7"/>
    <w:rsid w:val="00F12F5A"/>
    <w:rsid w:val="00F132A2"/>
    <w:rsid w:val="00F13429"/>
    <w:rsid w:val="00F13468"/>
    <w:rsid w:val="00F1348E"/>
    <w:rsid w:val="00F13BC1"/>
    <w:rsid w:val="00F14F84"/>
    <w:rsid w:val="00F1541F"/>
    <w:rsid w:val="00F15A9D"/>
    <w:rsid w:val="00F15ACA"/>
    <w:rsid w:val="00F15CE9"/>
    <w:rsid w:val="00F160AF"/>
    <w:rsid w:val="00F164D1"/>
    <w:rsid w:val="00F164D7"/>
    <w:rsid w:val="00F165E8"/>
    <w:rsid w:val="00F165FF"/>
    <w:rsid w:val="00F1696C"/>
    <w:rsid w:val="00F16F3A"/>
    <w:rsid w:val="00F2022B"/>
    <w:rsid w:val="00F205A7"/>
    <w:rsid w:val="00F21121"/>
    <w:rsid w:val="00F211F5"/>
    <w:rsid w:val="00F214CB"/>
    <w:rsid w:val="00F21A6E"/>
    <w:rsid w:val="00F21EEC"/>
    <w:rsid w:val="00F21FB9"/>
    <w:rsid w:val="00F22164"/>
    <w:rsid w:val="00F228BC"/>
    <w:rsid w:val="00F22AB6"/>
    <w:rsid w:val="00F22B3B"/>
    <w:rsid w:val="00F22BA5"/>
    <w:rsid w:val="00F22C16"/>
    <w:rsid w:val="00F23673"/>
    <w:rsid w:val="00F2369E"/>
    <w:rsid w:val="00F23F2A"/>
    <w:rsid w:val="00F24F44"/>
    <w:rsid w:val="00F256D3"/>
    <w:rsid w:val="00F25728"/>
    <w:rsid w:val="00F25CBB"/>
    <w:rsid w:val="00F26131"/>
    <w:rsid w:val="00F26281"/>
    <w:rsid w:val="00F26921"/>
    <w:rsid w:val="00F26C4B"/>
    <w:rsid w:val="00F26CB9"/>
    <w:rsid w:val="00F27435"/>
    <w:rsid w:val="00F27A5C"/>
    <w:rsid w:val="00F27FA7"/>
    <w:rsid w:val="00F30726"/>
    <w:rsid w:val="00F308D7"/>
    <w:rsid w:val="00F30AE1"/>
    <w:rsid w:val="00F30D43"/>
    <w:rsid w:val="00F30E90"/>
    <w:rsid w:val="00F315E5"/>
    <w:rsid w:val="00F31784"/>
    <w:rsid w:val="00F3187C"/>
    <w:rsid w:val="00F32069"/>
    <w:rsid w:val="00F32443"/>
    <w:rsid w:val="00F32554"/>
    <w:rsid w:val="00F32D35"/>
    <w:rsid w:val="00F32F4D"/>
    <w:rsid w:val="00F33326"/>
    <w:rsid w:val="00F33AE5"/>
    <w:rsid w:val="00F33C1F"/>
    <w:rsid w:val="00F3401A"/>
    <w:rsid w:val="00F341E5"/>
    <w:rsid w:val="00F35B2D"/>
    <w:rsid w:val="00F35F82"/>
    <w:rsid w:val="00F369E8"/>
    <w:rsid w:val="00F37524"/>
    <w:rsid w:val="00F40C43"/>
    <w:rsid w:val="00F4123D"/>
    <w:rsid w:val="00F413ED"/>
    <w:rsid w:val="00F4159F"/>
    <w:rsid w:val="00F418FC"/>
    <w:rsid w:val="00F41965"/>
    <w:rsid w:val="00F41A20"/>
    <w:rsid w:val="00F42325"/>
    <w:rsid w:val="00F42327"/>
    <w:rsid w:val="00F4275C"/>
    <w:rsid w:val="00F42B07"/>
    <w:rsid w:val="00F42EBA"/>
    <w:rsid w:val="00F430CD"/>
    <w:rsid w:val="00F43236"/>
    <w:rsid w:val="00F43A06"/>
    <w:rsid w:val="00F43B74"/>
    <w:rsid w:val="00F43D8B"/>
    <w:rsid w:val="00F44A67"/>
    <w:rsid w:val="00F45FB1"/>
    <w:rsid w:val="00F462CE"/>
    <w:rsid w:val="00F46E22"/>
    <w:rsid w:val="00F47413"/>
    <w:rsid w:val="00F47A05"/>
    <w:rsid w:val="00F47AE1"/>
    <w:rsid w:val="00F47C05"/>
    <w:rsid w:val="00F47DEE"/>
    <w:rsid w:val="00F47E5B"/>
    <w:rsid w:val="00F502D1"/>
    <w:rsid w:val="00F503BB"/>
    <w:rsid w:val="00F50791"/>
    <w:rsid w:val="00F50E8F"/>
    <w:rsid w:val="00F51205"/>
    <w:rsid w:val="00F515E9"/>
    <w:rsid w:val="00F51F72"/>
    <w:rsid w:val="00F523FB"/>
    <w:rsid w:val="00F5297A"/>
    <w:rsid w:val="00F52A44"/>
    <w:rsid w:val="00F53653"/>
    <w:rsid w:val="00F54191"/>
    <w:rsid w:val="00F54217"/>
    <w:rsid w:val="00F54A78"/>
    <w:rsid w:val="00F54DC3"/>
    <w:rsid w:val="00F55AA6"/>
    <w:rsid w:val="00F55EA3"/>
    <w:rsid w:val="00F56092"/>
    <w:rsid w:val="00F560F0"/>
    <w:rsid w:val="00F56237"/>
    <w:rsid w:val="00F563C3"/>
    <w:rsid w:val="00F564DA"/>
    <w:rsid w:val="00F5671D"/>
    <w:rsid w:val="00F569A1"/>
    <w:rsid w:val="00F56BA8"/>
    <w:rsid w:val="00F56CA5"/>
    <w:rsid w:val="00F5767E"/>
    <w:rsid w:val="00F576E9"/>
    <w:rsid w:val="00F578C4"/>
    <w:rsid w:val="00F57CFE"/>
    <w:rsid w:val="00F57FB8"/>
    <w:rsid w:val="00F600BF"/>
    <w:rsid w:val="00F60393"/>
    <w:rsid w:val="00F60425"/>
    <w:rsid w:val="00F6058E"/>
    <w:rsid w:val="00F60768"/>
    <w:rsid w:val="00F60902"/>
    <w:rsid w:val="00F60B45"/>
    <w:rsid w:val="00F61771"/>
    <w:rsid w:val="00F6182A"/>
    <w:rsid w:val="00F61C7B"/>
    <w:rsid w:val="00F61C9C"/>
    <w:rsid w:val="00F61CA7"/>
    <w:rsid w:val="00F61E62"/>
    <w:rsid w:val="00F621B4"/>
    <w:rsid w:val="00F627E7"/>
    <w:rsid w:val="00F62F50"/>
    <w:rsid w:val="00F62F68"/>
    <w:rsid w:val="00F63309"/>
    <w:rsid w:val="00F634FC"/>
    <w:rsid w:val="00F63ACF"/>
    <w:rsid w:val="00F63DA5"/>
    <w:rsid w:val="00F642F9"/>
    <w:rsid w:val="00F646CE"/>
    <w:rsid w:val="00F64A0C"/>
    <w:rsid w:val="00F64EFB"/>
    <w:rsid w:val="00F668D0"/>
    <w:rsid w:val="00F67128"/>
    <w:rsid w:val="00F671DC"/>
    <w:rsid w:val="00F673F2"/>
    <w:rsid w:val="00F67BCE"/>
    <w:rsid w:val="00F67BE5"/>
    <w:rsid w:val="00F70521"/>
    <w:rsid w:val="00F70C47"/>
    <w:rsid w:val="00F7119C"/>
    <w:rsid w:val="00F71223"/>
    <w:rsid w:val="00F718BE"/>
    <w:rsid w:val="00F72404"/>
    <w:rsid w:val="00F724C9"/>
    <w:rsid w:val="00F72726"/>
    <w:rsid w:val="00F73A50"/>
    <w:rsid w:val="00F747A6"/>
    <w:rsid w:val="00F74BE9"/>
    <w:rsid w:val="00F766B5"/>
    <w:rsid w:val="00F76FAA"/>
    <w:rsid w:val="00F77430"/>
    <w:rsid w:val="00F775A8"/>
    <w:rsid w:val="00F77B94"/>
    <w:rsid w:val="00F8035B"/>
    <w:rsid w:val="00F808F5"/>
    <w:rsid w:val="00F8104C"/>
    <w:rsid w:val="00F810A8"/>
    <w:rsid w:val="00F817F1"/>
    <w:rsid w:val="00F81F40"/>
    <w:rsid w:val="00F82247"/>
    <w:rsid w:val="00F82255"/>
    <w:rsid w:val="00F82A89"/>
    <w:rsid w:val="00F83209"/>
    <w:rsid w:val="00F83A31"/>
    <w:rsid w:val="00F84009"/>
    <w:rsid w:val="00F84AEC"/>
    <w:rsid w:val="00F8537F"/>
    <w:rsid w:val="00F85F6E"/>
    <w:rsid w:val="00F85FA5"/>
    <w:rsid w:val="00F860EB"/>
    <w:rsid w:val="00F86961"/>
    <w:rsid w:val="00F86CB5"/>
    <w:rsid w:val="00F874C6"/>
    <w:rsid w:val="00F876E3"/>
    <w:rsid w:val="00F87E30"/>
    <w:rsid w:val="00F87E52"/>
    <w:rsid w:val="00F87F54"/>
    <w:rsid w:val="00F9012B"/>
    <w:rsid w:val="00F90AFE"/>
    <w:rsid w:val="00F9112E"/>
    <w:rsid w:val="00F911D8"/>
    <w:rsid w:val="00F92A24"/>
    <w:rsid w:val="00F92A79"/>
    <w:rsid w:val="00F92D0E"/>
    <w:rsid w:val="00F93546"/>
    <w:rsid w:val="00F938CA"/>
    <w:rsid w:val="00F93A1E"/>
    <w:rsid w:val="00F9412C"/>
    <w:rsid w:val="00F9464B"/>
    <w:rsid w:val="00F94D0B"/>
    <w:rsid w:val="00F95B8A"/>
    <w:rsid w:val="00F95F79"/>
    <w:rsid w:val="00F968DE"/>
    <w:rsid w:val="00F97205"/>
    <w:rsid w:val="00F975FE"/>
    <w:rsid w:val="00F9763D"/>
    <w:rsid w:val="00F97A75"/>
    <w:rsid w:val="00F97C04"/>
    <w:rsid w:val="00F97E2E"/>
    <w:rsid w:val="00FA0050"/>
    <w:rsid w:val="00FA0873"/>
    <w:rsid w:val="00FA0A89"/>
    <w:rsid w:val="00FA101E"/>
    <w:rsid w:val="00FA1583"/>
    <w:rsid w:val="00FA1B1C"/>
    <w:rsid w:val="00FA1F71"/>
    <w:rsid w:val="00FA22DF"/>
    <w:rsid w:val="00FA29B1"/>
    <w:rsid w:val="00FA4033"/>
    <w:rsid w:val="00FA41AD"/>
    <w:rsid w:val="00FA49EA"/>
    <w:rsid w:val="00FA592B"/>
    <w:rsid w:val="00FA5C40"/>
    <w:rsid w:val="00FA62CE"/>
    <w:rsid w:val="00FA63AC"/>
    <w:rsid w:val="00FA7082"/>
    <w:rsid w:val="00FA7450"/>
    <w:rsid w:val="00FA7AE8"/>
    <w:rsid w:val="00FA7DF2"/>
    <w:rsid w:val="00FB02E2"/>
    <w:rsid w:val="00FB0E60"/>
    <w:rsid w:val="00FB1743"/>
    <w:rsid w:val="00FB1971"/>
    <w:rsid w:val="00FB25B9"/>
    <w:rsid w:val="00FB2D53"/>
    <w:rsid w:val="00FB3414"/>
    <w:rsid w:val="00FB397C"/>
    <w:rsid w:val="00FB4F7D"/>
    <w:rsid w:val="00FB4FE4"/>
    <w:rsid w:val="00FB5A89"/>
    <w:rsid w:val="00FB63B3"/>
    <w:rsid w:val="00FB661C"/>
    <w:rsid w:val="00FB6B56"/>
    <w:rsid w:val="00FB6D7A"/>
    <w:rsid w:val="00FB6E9D"/>
    <w:rsid w:val="00FB7297"/>
    <w:rsid w:val="00FB72A7"/>
    <w:rsid w:val="00FB7BAD"/>
    <w:rsid w:val="00FB7CF5"/>
    <w:rsid w:val="00FC0206"/>
    <w:rsid w:val="00FC05CA"/>
    <w:rsid w:val="00FC098C"/>
    <w:rsid w:val="00FC0FF1"/>
    <w:rsid w:val="00FC108C"/>
    <w:rsid w:val="00FC171F"/>
    <w:rsid w:val="00FC1855"/>
    <w:rsid w:val="00FC19EF"/>
    <w:rsid w:val="00FC1BF5"/>
    <w:rsid w:val="00FC1F0D"/>
    <w:rsid w:val="00FC35B1"/>
    <w:rsid w:val="00FC35EC"/>
    <w:rsid w:val="00FC3941"/>
    <w:rsid w:val="00FC3A61"/>
    <w:rsid w:val="00FC3C6C"/>
    <w:rsid w:val="00FC3D91"/>
    <w:rsid w:val="00FC4AF0"/>
    <w:rsid w:val="00FC506C"/>
    <w:rsid w:val="00FC5350"/>
    <w:rsid w:val="00FC55A9"/>
    <w:rsid w:val="00FC55B8"/>
    <w:rsid w:val="00FC5F23"/>
    <w:rsid w:val="00FC5F85"/>
    <w:rsid w:val="00FC6AC2"/>
    <w:rsid w:val="00FC6B8B"/>
    <w:rsid w:val="00FC6F09"/>
    <w:rsid w:val="00FC7495"/>
    <w:rsid w:val="00FC7B2B"/>
    <w:rsid w:val="00FC7C1E"/>
    <w:rsid w:val="00FD0797"/>
    <w:rsid w:val="00FD081E"/>
    <w:rsid w:val="00FD0F65"/>
    <w:rsid w:val="00FD1240"/>
    <w:rsid w:val="00FD138F"/>
    <w:rsid w:val="00FD1E12"/>
    <w:rsid w:val="00FD1EC9"/>
    <w:rsid w:val="00FD2718"/>
    <w:rsid w:val="00FD2C34"/>
    <w:rsid w:val="00FD4394"/>
    <w:rsid w:val="00FD4F58"/>
    <w:rsid w:val="00FD5153"/>
    <w:rsid w:val="00FD51B5"/>
    <w:rsid w:val="00FD5508"/>
    <w:rsid w:val="00FD5755"/>
    <w:rsid w:val="00FD5D6E"/>
    <w:rsid w:val="00FD5E6E"/>
    <w:rsid w:val="00FD6C15"/>
    <w:rsid w:val="00FD6E08"/>
    <w:rsid w:val="00FD7025"/>
    <w:rsid w:val="00FD7053"/>
    <w:rsid w:val="00FD71CD"/>
    <w:rsid w:val="00FD7533"/>
    <w:rsid w:val="00FD7A9E"/>
    <w:rsid w:val="00FE019F"/>
    <w:rsid w:val="00FE0296"/>
    <w:rsid w:val="00FE05CA"/>
    <w:rsid w:val="00FE0B47"/>
    <w:rsid w:val="00FE10A4"/>
    <w:rsid w:val="00FE178E"/>
    <w:rsid w:val="00FE1A46"/>
    <w:rsid w:val="00FE2009"/>
    <w:rsid w:val="00FE2309"/>
    <w:rsid w:val="00FE235E"/>
    <w:rsid w:val="00FE254C"/>
    <w:rsid w:val="00FE2A67"/>
    <w:rsid w:val="00FE341A"/>
    <w:rsid w:val="00FE3A43"/>
    <w:rsid w:val="00FE3AD5"/>
    <w:rsid w:val="00FE3EC4"/>
    <w:rsid w:val="00FE4385"/>
    <w:rsid w:val="00FE49FF"/>
    <w:rsid w:val="00FE4B21"/>
    <w:rsid w:val="00FE4BA2"/>
    <w:rsid w:val="00FE5275"/>
    <w:rsid w:val="00FE59A9"/>
    <w:rsid w:val="00FE5E0E"/>
    <w:rsid w:val="00FE5EC3"/>
    <w:rsid w:val="00FE6582"/>
    <w:rsid w:val="00FE663B"/>
    <w:rsid w:val="00FE67FE"/>
    <w:rsid w:val="00FE6E3E"/>
    <w:rsid w:val="00FE7393"/>
    <w:rsid w:val="00FE776E"/>
    <w:rsid w:val="00FE7B93"/>
    <w:rsid w:val="00FE7BD2"/>
    <w:rsid w:val="00FE7DEE"/>
    <w:rsid w:val="00FF0009"/>
    <w:rsid w:val="00FF0329"/>
    <w:rsid w:val="00FF0E60"/>
    <w:rsid w:val="00FF0FD2"/>
    <w:rsid w:val="00FF1553"/>
    <w:rsid w:val="00FF16D5"/>
    <w:rsid w:val="00FF1B69"/>
    <w:rsid w:val="00FF20BC"/>
    <w:rsid w:val="00FF232F"/>
    <w:rsid w:val="00FF344F"/>
    <w:rsid w:val="00FF39C1"/>
    <w:rsid w:val="00FF42D9"/>
    <w:rsid w:val="00FF4AD6"/>
    <w:rsid w:val="00FF5242"/>
    <w:rsid w:val="00FF527C"/>
    <w:rsid w:val="00FF59B8"/>
    <w:rsid w:val="00FF5B70"/>
    <w:rsid w:val="00FF608B"/>
    <w:rsid w:val="00FF608E"/>
    <w:rsid w:val="00FF60E9"/>
    <w:rsid w:val="00FF6781"/>
    <w:rsid w:val="00FF6862"/>
    <w:rsid w:val="00FF6867"/>
    <w:rsid w:val="00FF72C3"/>
    <w:rsid w:val="00FF732A"/>
    <w:rsid w:val="00FF7FFA"/>
    <w:rsid w:val="041C02C3"/>
    <w:rsid w:val="0B4E8D67"/>
    <w:rsid w:val="2D5FFD01"/>
    <w:rsid w:val="30FE30C5"/>
    <w:rsid w:val="3267F38A"/>
    <w:rsid w:val="35AED6E5"/>
    <w:rsid w:val="5B3E0D20"/>
    <w:rsid w:val="620D2CC0"/>
    <w:rsid w:val="6898F87C"/>
    <w:rsid w:val="7C1206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7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C0"/>
  </w:style>
  <w:style w:type="paragraph" w:styleId="Heading1">
    <w:name w:val="heading 1"/>
    <w:basedOn w:val="Normal"/>
    <w:next w:val="Normal"/>
    <w:link w:val="Heading1Char"/>
    <w:uiPriority w:val="9"/>
    <w:qFormat/>
    <w:rsid w:val="00287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7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1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05C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70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14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05C24"/>
    <w:rPr>
      <w:rFonts w:asciiTheme="majorHAnsi" w:eastAsiaTheme="majorEastAsia" w:hAnsiTheme="majorHAnsi" w:cstheme="majorBidi"/>
      <w:i/>
      <w:iCs/>
      <w:color w:val="2F5496" w:themeColor="accent1" w:themeShade="BF"/>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2870C0"/>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E3867"/>
  </w:style>
  <w:style w:type="paragraph" w:styleId="Header">
    <w:name w:val="header"/>
    <w:basedOn w:val="Normal"/>
    <w:link w:val="HeaderChar"/>
    <w:uiPriority w:val="99"/>
    <w:unhideWhenUsed/>
    <w:rsid w:val="002870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0C0"/>
  </w:style>
  <w:style w:type="paragraph" w:styleId="Footer">
    <w:name w:val="footer"/>
    <w:basedOn w:val="Normal"/>
    <w:link w:val="FooterChar"/>
    <w:uiPriority w:val="99"/>
    <w:unhideWhenUsed/>
    <w:rsid w:val="002870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0C0"/>
  </w:style>
  <w:style w:type="paragraph" w:styleId="TOCHeading">
    <w:name w:val="TOC Heading"/>
    <w:basedOn w:val="Heading1"/>
    <w:next w:val="Normal"/>
    <w:uiPriority w:val="39"/>
    <w:unhideWhenUsed/>
    <w:qFormat/>
    <w:rsid w:val="00B83195"/>
    <w:pPr>
      <w:outlineLvl w:val="9"/>
    </w:pPr>
    <w:rPr>
      <w:lang w:val="en-US"/>
    </w:rPr>
  </w:style>
  <w:style w:type="paragraph" w:styleId="TOC1">
    <w:name w:val="toc 1"/>
    <w:basedOn w:val="Normal"/>
    <w:next w:val="Normal"/>
    <w:autoRedefine/>
    <w:uiPriority w:val="39"/>
    <w:unhideWhenUsed/>
    <w:rsid w:val="00B83195"/>
    <w:pPr>
      <w:spacing w:after="100"/>
    </w:pPr>
  </w:style>
  <w:style w:type="paragraph" w:styleId="TOC2">
    <w:name w:val="toc 2"/>
    <w:basedOn w:val="Normal"/>
    <w:next w:val="Normal"/>
    <w:autoRedefine/>
    <w:uiPriority w:val="39"/>
    <w:unhideWhenUsed/>
    <w:rsid w:val="00B83195"/>
    <w:pPr>
      <w:spacing w:after="100"/>
      <w:ind w:left="220"/>
    </w:pPr>
  </w:style>
  <w:style w:type="character" w:styleId="Hyperlink">
    <w:name w:val="Hyperlink"/>
    <w:basedOn w:val="DefaultParagraphFont"/>
    <w:uiPriority w:val="99"/>
    <w:unhideWhenUsed/>
    <w:rsid w:val="00B83195"/>
    <w:rPr>
      <w:color w:val="0563C1" w:themeColor="hyperlink"/>
      <w:u w:val="single"/>
    </w:rPr>
  </w:style>
  <w:style w:type="table" w:styleId="TableGrid">
    <w:name w:val="Table Grid"/>
    <w:basedOn w:val="TableNormal"/>
    <w:uiPriority w:val="99"/>
    <w:rsid w:val="0059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1965"/>
    <w:rPr>
      <w:color w:val="605E5C"/>
      <w:shd w:val="clear" w:color="auto" w:fill="E1DFDD"/>
    </w:rPr>
  </w:style>
  <w:style w:type="paragraph" w:styleId="FootnoteText">
    <w:name w:val="footnote text"/>
    <w:basedOn w:val="Normal"/>
    <w:link w:val="FootnoteTextChar"/>
    <w:uiPriority w:val="99"/>
    <w:unhideWhenUsed/>
    <w:rsid w:val="003D503E"/>
    <w:pPr>
      <w:spacing w:after="0" w:line="240" w:lineRule="auto"/>
    </w:pPr>
    <w:rPr>
      <w:sz w:val="20"/>
      <w:szCs w:val="20"/>
    </w:rPr>
  </w:style>
  <w:style w:type="character" w:customStyle="1" w:styleId="FootnoteTextChar">
    <w:name w:val="Footnote Text Char"/>
    <w:basedOn w:val="DefaultParagraphFont"/>
    <w:link w:val="FootnoteText"/>
    <w:uiPriority w:val="99"/>
    <w:rsid w:val="003D503E"/>
    <w:rPr>
      <w:sz w:val="20"/>
      <w:szCs w:val="20"/>
    </w:rPr>
  </w:style>
  <w:style w:type="character" w:styleId="FootnoteReference">
    <w:name w:val="footnote reference"/>
    <w:basedOn w:val="DefaultParagraphFont"/>
    <w:uiPriority w:val="99"/>
    <w:semiHidden/>
    <w:unhideWhenUsed/>
    <w:rsid w:val="003D503E"/>
    <w:rPr>
      <w:vertAlign w:val="superscript"/>
    </w:rPr>
  </w:style>
  <w:style w:type="paragraph" w:styleId="Caption">
    <w:name w:val="caption"/>
    <w:basedOn w:val="Normal"/>
    <w:next w:val="Normal"/>
    <w:uiPriority w:val="35"/>
    <w:unhideWhenUsed/>
    <w:qFormat/>
    <w:rsid w:val="00BF713F"/>
    <w:pPr>
      <w:spacing w:after="200" w:line="240" w:lineRule="auto"/>
    </w:pPr>
    <w:rPr>
      <w:i/>
      <w:iCs/>
      <w:color w:val="44546A" w:themeColor="text2"/>
      <w:sz w:val="18"/>
      <w:szCs w:val="18"/>
    </w:rPr>
  </w:style>
  <w:style w:type="table" w:customStyle="1" w:styleId="PlainTable51">
    <w:name w:val="Plain Table 51"/>
    <w:basedOn w:val="TableNormal"/>
    <w:uiPriority w:val="45"/>
    <w:rsid w:val="008950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E3867"/>
    <w:rPr>
      <w:sz w:val="16"/>
      <w:szCs w:val="16"/>
    </w:rPr>
  </w:style>
  <w:style w:type="paragraph" w:styleId="CommentText">
    <w:name w:val="annotation text"/>
    <w:basedOn w:val="Normal"/>
    <w:link w:val="CommentTextChar"/>
    <w:uiPriority w:val="99"/>
    <w:unhideWhenUsed/>
    <w:rsid w:val="004E3867"/>
    <w:pPr>
      <w:spacing w:line="240" w:lineRule="auto"/>
    </w:pPr>
    <w:rPr>
      <w:sz w:val="20"/>
      <w:szCs w:val="20"/>
    </w:rPr>
  </w:style>
  <w:style w:type="character" w:customStyle="1" w:styleId="CommentTextChar">
    <w:name w:val="Comment Text Char"/>
    <w:basedOn w:val="DefaultParagraphFont"/>
    <w:link w:val="CommentText"/>
    <w:uiPriority w:val="99"/>
    <w:rsid w:val="004E3867"/>
    <w:rPr>
      <w:sz w:val="20"/>
      <w:szCs w:val="20"/>
    </w:rPr>
  </w:style>
  <w:style w:type="paragraph" w:styleId="CommentSubject">
    <w:name w:val="annotation subject"/>
    <w:basedOn w:val="CommentText"/>
    <w:next w:val="CommentText"/>
    <w:link w:val="CommentSubjectChar"/>
    <w:uiPriority w:val="99"/>
    <w:semiHidden/>
    <w:unhideWhenUsed/>
    <w:rsid w:val="004E3867"/>
    <w:rPr>
      <w:b/>
      <w:bCs/>
    </w:rPr>
  </w:style>
  <w:style w:type="character" w:customStyle="1" w:styleId="CommentSubjectChar">
    <w:name w:val="Comment Subject Char"/>
    <w:basedOn w:val="CommentTextChar"/>
    <w:link w:val="CommentSubject"/>
    <w:uiPriority w:val="99"/>
    <w:semiHidden/>
    <w:rsid w:val="004E3867"/>
    <w:rPr>
      <w:b/>
      <w:bCs/>
      <w:sz w:val="20"/>
      <w:szCs w:val="20"/>
    </w:rPr>
  </w:style>
  <w:style w:type="paragraph" w:customStyle="1" w:styleId="Figurenote">
    <w:name w:val="Figure note"/>
    <w:basedOn w:val="Normal"/>
    <w:link w:val="FigurenoteChar"/>
    <w:qFormat/>
    <w:rsid w:val="004E3867"/>
    <w:pPr>
      <w:spacing w:after="120"/>
      <w:jc w:val="both"/>
    </w:pPr>
    <w:rPr>
      <w:rFonts w:eastAsiaTheme="minorEastAsia" w:cstheme="minorHAnsi"/>
      <w:i/>
      <w:sz w:val="18"/>
      <w:szCs w:val="18"/>
      <w:shd w:val="clear" w:color="auto" w:fill="FFFFFF"/>
    </w:rPr>
  </w:style>
  <w:style w:type="character" w:customStyle="1" w:styleId="FigurenoteChar">
    <w:name w:val="Figure note Char"/>
    <w:basedOn w:val="DefaultParagraphFont"/>
    <w:link w:val="Figurenote"/>
    <w:rsid w:val="004E3867"/>
    <w:rPr>
      <w:rFonts w:eastAsiaTheme="minorEastAsia" w:cstheme="minorHAnsi"/>
      <w:i/>
      <w:sz w:val="18"/>
      <w:szCs w:val="18"/>
    </w:rPr>
  </w:style>
  <w:style w:type="table" w:customStyle="1" w:styleId="PlainTable31">
    <w:name w:val="Plain Table 31"/>
    <w:basedOn w:val="TableNormal"/>
    <w:uiPriority w:val="43"/>
    <w:rsid w:val="001705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3">
    <w:name w:val="toc 3"/>
    <w:basedOn w:val="Normal"/>
    <w:next w:val="Normal"/>
    <w:autoRedefine/>
    <w:uiPriority w:val="39"/>
    <w:unhideWhenUsed/>
    <w:rsid w:val="00412673"/>
    <w:pPr>
      <w:spacing w:after="100"/>
      <w:ind w:left="440"/>
    </w:pPr>
  </w:style>
  <w:style w:type="character" w:styleId="PlaceholderText">
    <w:name w:val="Placeholder Text"/>
    <w:basedOn w:val="DefaultParagraphFont"/>
    <w:uiPriority w:val="99"/>
    <w:semiHidden/>
    <w:rsid w:val="008837DC"/>
    <w:rPr>
      <w:color w:val="808080"/>
    </w:rPr>
  </w:style>
  <w:style w:type="paragraph" w:styleId="DocumentMap">
    <w:name w:val="Document Map"/>
    <w:basedOn w:val="Normal"/>
    <w:link w:val="DocumentMapChar"/>
    <w:uiPriority w:val="99"/>
    <w:semiHidden/>
    <w:unhideWhenUsed/>
    <w:rsid w:val="00D345E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45E7"/>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950CFC"/>
    <w:rPr>
      <w:color w:val="605E5C"/>
      <w:shd w:val="clear" w:color="auto" w:fill="E1DFDD"/>
    </w:rPr>
  </w:style>
  <w:style w:type="paragraph" w:customStyle="1" w:styleId="Default">
    <w:name w:val="Default"/>
    <w:rsid w:val="00063B5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C001A"/>
    <w:rPr>
      <w:color w:val="954F72" w:themeColor="followedHyperlink"/>
      <w:u w:val="single"/>
    </w:rPr>
  </w:style>
  <w:style w:type="character" w:styleId="UnresolvedMention">
    <w:name w:val="Unresolved Mention"/>
    <w:basedOn w:val="DefaultParagraphFont"/>
    <w:uiPriority w:val="99"/>
    <w:unhideWhenUsed/>
    <w:rsid w:val="00E1338C"/>
    <w:rPr>
      <w:color w:val="605E5C"/>
      <w:shd w:val="clear" w:color="auto" w:fill="E1DFDD"/>
    </w:rPr>
  </w:style>
  <w:style w:type="character" w:customStyle="1" w:styleId="wb-inv">
    <w:name w:val="wb-inv"/>
    <w:basedOn w:val="DefaultParagraphFont"/>
    <w:rsid w:val="00F85F6E"/>
  </w:style>
  <w:style w:type="table" w:styleId="PlainTable1">
    <w:name w:val="Plain Table 1"/>
    <w:basedOn w:val="TableNormal"/>
    <w:uiPriority w:val="99"/>
    <w:rsid w:val="00A169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16955"/>
    <w:pPr>
      <w:spacing w:after="0" w:line="240" w:lineRule="auto"/>
    </w:pPr>
    <w:rPr>
      <w:rFonts w:ascii="Times New Roman" w:eastAsiaTheme="minorEastAsia" w:hAnsi="Times New Roman" w:cs="Times New Roman"/>
      <w:sz w:val="24"/>
      <w:szCs w:val="24"/>
      <w:lang w:val="en-US" w:eastAsia="zh-CN"/>
    </w:rPr>
  </w:style>
  <w:style w:type="table" w:styleId="PlainTable3">
    <w:name w:val="Plain Table 3"/>
    <w:basedOn w:val="TableNormal"/>
    <w:uiPriority w:val="99"/>
    <w:rsid w:val="00DA58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EA2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7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524">
      <w:bodyDiv w:val="1"/>
      <w:marLeft w:val="0"/>
      <w:marRight w:val="0"/>
      <w:marTop w:val="0"/>
      <w:marBottom w:val="0"/>
      <w:divBdr>
        <w:top w:val="none" w:sz="0" w:space="0" w:color="auto"/>
        <w:left w:val="none" w:sz="0" w:space="0" w:color="auto"/>
        <w:bottom w:val="none" w:sz="0" w:space="0" w:color="auto"/>
        <w:right w:val="none" w:sz="0" w:space="0" w:color="auto"/>
      </w:divBdr>
    </w:div>
    <w:div w:id="54277718">
      <w:bodyDiv w:val="1"/>
      <w:marLeft w:val="0"/>
      <w:marRight w:val="0"/>
      <w:marTop w:val="0"/>
      <w:marBottom w:val="0"/>
      <w:divBdr>
        <w:top w:val="none" w:sz="0" w:space="0" w:color="auto"/>
        <w:left w:val="none" w:sz="0" w:space="0" w:color="auto"/>
        <w:bottom w:val="none" w:sz="0" w:space="0" w:color="auto"/>
        <w:right w:val="none" w:sz="0" w:space="0" w:color="auto"/>
      </w:divBdr>
    </w:div>
    <w:div w:id="115291928">
      <w:bodyDiv w:val="1"/>
      <w:marLeft w:val="0"/>
      <w:marRight w:val="0"/>
      <w:marTop w:val="0"/>
      <w:marBottom w:val="0"/>
      <w:divBdr>
        <w:top w:val="none" w:sz="0" w:space="0" w:color="auto"/>
        <w:left w:val="none" w:sz="0" w:space="0" w:color="auto"/>
        <w:bottom w:val="none" w:sz="0" w:space="0" w:color="auto"/>
        <w:right w:val="none" w:sz="0" w:space="0" w:color="auto"/>
      </w:divBdr>
      <w:divsChild>
        <w:div w:id="1985238312">
          <w:marLeft w:val="0"/>
          <w:marRight w:val="0"/>
          <w:marTop w:val="0"/>
          <w:marBottom w:val="240"/>
          <w:divBdr>
            <w:top w:val="none" w:sz="0" w:space="0" w:color="auto"/>
            <w:left w:val="none" w:sz="0" w:space="0" w:color="auto"/>
            <w:bottom w:val="none" w:sz="0" w:space="0" w:color="auto"/>
            <w:right w:val="none" w:sz="0" w:space="0" w:color="auto"/>
          </w:divBdr>
          <w:divsChild>
            <w:div w:id="577325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35573">
      <w:bodyDiv w:val="1"/>
      <w:marLeft w:val="0"/>
      <w:marRight w:val="0"/>
      <w:marTop w:val="0"/>
      <w:marBottom w:val="0"/>
      <w:divBdr>
        <w:top w:val="none" w:sz="0" w:space="0" w:color="auto"/>
        <w:left w:val="none" w:sz="0" w:space="0" w:color="auto"/>
        <w:bottom w:val="none" w:sz="0" w:space="0" w:color="auto"/>
        <w:right w:val="none" w:sz="0" w:space="0" w:color="auto"/>
      </w:divBdr>
    </w:div>
    <w:div w:id="208760527">
      <w:bodyDiv w:val="1"/>
      <w:marLeft w:val="0"/>
      <w:marRight w:val="0"/>
      <w:marTop w:val="0"/>
      <w:marBottom w:val="0"/>
      <w:divBdr>
        <w:top w:val="none" w:sz="0" w:space="0" w:color="auto"/>
        <w:left w:val="none" w:sz="0" w:space="0" w:color="auto"/>
        <w:bottom w:val="none" w:sz="0" w:space="0" w:color="auto"/>
        <w:right w:val="none" w:sz="0" w:space="0" w:color="auto"/>
      </w:divBdr>
    </w:div>
    <w:div w:id="247807864">
      <w:bodyDiv w:val="1"/>
      <w:marLeft w:val="0"/>
      <w:marRight w:val="0"/>
      <w:marTop w:val="0"/>
      <w:marBottom w:val="0"/>
      <w:divBdr>
        <w:top w:val="none" w:sz="0" w:space="0" w:color="auto"/>
        <w:left w:val="none" w:sz="0" w:space="0" w:color="auto"/>
        <w:bottom w:val="none" w:sz="0" w:space="0" w:color="auto"/>
        <w:right w:val="none" w:sz="0" w:space="0" w:color="auto"/>
      </w:divBdr>
    </w:div>
    <w:div w:id="256795299">
      <w:bodyDiv w:val="1"/>
      <w:marLeft w:val="0"/>
      <w:marRight w:val="0"/>
      <w:marTop w:val="0"/>
      <w:marBottom w:val="0"/>
      <w:divBdr>
        <w:top w:val="none" w:sz="0" w:space="0" w:color="auto"/>
        <w:left w:val="none" w:sz="0" w:space="0" w:color="auto"/>
        <w:bottom w:val="none" w:sz="0" w:space="0" w:color="auto"/>
        <w:right w:val="none" w:sz="0" w:space="0" w:color="auto"/>
      </w:divBdr>
    </w:div>
    <w:div w:id="264772803">
      <w:bodyDiv w:val="1"/>
      <w:marLeft w:val="0"/>
      <w:marRight w:val="0"/>
      <w:marTop w:val="0"/>
      <w:marBottom w:val="0"/>
      <w:divBdr>
        <w:top w:val="none" w:sz="0" w:space="0" w:color="auto"/>
        <w:left w:val="none" w:sz="0" w:space="0" w:color="auto"/>
        <w:bottom w:val="none" w:sz="0" w:space="0" w:color="auto"/>
        <w:right w:val="none" w:sz="0" w:space="0" w:color="auto"/>
      </w:divBdr>
      <w:divsChild>
        <w:div w:id="857305820">
          <w:marLeft w:val="0"/>
          <w:marRight w:val="0"/>
          <w:marTop w:val="0"/>
          <w:marBottom w:val="0"/>
          <w:divBdr>
            <w:top w:val="none" w:sz="0" w:space="0" w:color="auto"/>
            <w:left w:val="none" w:sz="0" w:space="0" w:color="auto"/>
            <w:bottom w:val="none" w:sz="0" w:space="0" w:color="auto"/>
            <w:right w:val="none" w:sz="0" w:space="0" w:color="auto"/>
          </w:divBdr>
        </w:div>
      </w:divsChild>
    </w:div>
    <w:div w:id="284967621">
      <w:bodyDiv w:val="1"/>
      <w:marLeft w:val="0"/>
      <w:marRight w:val="0"/>
      <w:marTop w:val="0"/>
      <w:marBottom w:val="0"/>
      <w:divBdr>
        <w:top w:val="none" w:sz="0" w:space="0" w:color="auto"/>
        <w:left w:val="none" w:sz="0" w:space="0" w:color="auto"/>
        <w:bottom w:val="none" w:sz="0" w:space="0" w:color="auto"/>
        <w:right w:val="none" w:sz="0" w:space="0" w:color="auto"/>
      </w:divBdr>
    </w:div>
    <w:div w:id="299503257">
      <w:bodyDiv w:val="1"/>
      <w:marLeft w:val="0"/>
      <w:marRight w:val="0"/>
      <w:marTop w:val="0"/>
      <w:marBottom w:val="0"/>
      <w:divBdr>
        <w:top w:val="none" w:sz="0" w:space="0" w:color="auto"/>
        <w:left w:val="none" w:sz="0" w:space="0" w:color="auto"/>
        <w:bottom w:val="none" w:sz="0" w:space="0" w:color="auto"/>
        <w:right w:val="none" w:sz="0" w:space="0" w:color="auto"/>
      </w:divBdr>
    </w:div>
    <w:div w:id="306398627">
      <w:bodyDiv w:val="1"/>
      <w:marLeft w:val="0"/>
      <w:marRight w:val="0"/>
      <w:marTop w:val="0"/>
      <w:marBottom w:val="0"/>
      <w:divBdr>
        <w:top w:val="none" w:sz="0" w:space="0" w:color="auto"/>
        <w:left w:val="none" w:sz="0" w:space="0" w:color="auto"/>
        <w:bottom w:val="none" w:sz="0" w:space="0" w:color="auto"/>
        <w:right w:val="none" w:sz="0" w:space="0" w:color="auto"/>
      </w:divBdr>
    </w:div>
    <w:div w:id="374433302">
      <w:bodyDiv w:val="1"/>
      <w:marLeft w:val="0"/>
      <w:marRight w:val="0"/>
      <w:marTop w:val="0"/>
      <w:marBottom w:val="0"/>
      <w:divBdr>
        <w:top w:val="none" w:sz="0" w:space="0" w:color="auto"/>
        <w:left w:val="none" w:sz="0" w:space="0" w:color="auto"/>
        <w:bottom w:val="none" w:sz="0" w:space="0" w:color="auto"/>
        <w:right w:val="none" w:sz="0" w:space="0" w:color="auto"/>
      </w:divBdr>
      <w:divsChild>
        <w:div w:id="2121417273">
          <w:marLeft w:val="0"/>
          <w:marRight w:val="0"/>
          <w:marTop w:val="0"/>
          <w:marBottom w:val="675"/>
          <w:divBdr>
            <w:top w:val="none" w:sz="0" w:space="0" w:color="auto"/>
            <w:left w:val="none" w:sz="0" w:space="0" w:color="auto"/>
            <w:bottom w:val="none" w:sz="0" w:space="0" w:color="auto"/>
            <w:right w:val="none" w:sz="0" w:space="0" w:color="auto"/>
          </w:divBdr>
        </w:div>
      </w:divsChild>
    </w:div>
    <w:div w:id="439491962">
      <w:bodyDiv w:val="1"/>
      <w:marLeft w:val="0"/>
      <w:marRight w:val="0"/>
      <w:marTop w:val="0"/>
      <w:marBottom w:val="0"/>
      <w:divBdr>
        <w:top w:val="none" w:sz="0" w:space="0" w:color="auto"/>
        <w:left w:val="none" w:sz="0" w:space="0" w:color="auto"/>
        <w:bottom w:val="none" w:sz="0" w:space="0" w:color="auto"/>
        <w:right w:val="none" w:sz="0" w:space="0" w:color="auto"/>
      </w:divBdr>
    </w:div>
    <w:div w:id="459152313">
      <w:bodyDiv w:val="1"/>
      <w:marLeft w:val="0"/>
      <w:marRight w:val="0"/>
      <w:marTop w:val="0"/>
      <w:marBottom w:val="0"/>
      <w:divBdr>
        <w:top w:val="none" w:sz="0" w:space="0" w:color="auto"/>
        <w:left w:val="none" w:sz="0" w:space="0" w:color="auto"/>
        <w:bottom w:val="none" w:sz="0" w:space="0" w:color="auto"/>
        <w:right w:val="none" w:sz="0" w:space="0" w:color="auto"/>
      </w:divBdr>
    </w:div>
    <w:div w:id="481190668">
      <w:bodyDiv w:val="1"/>
      <w:marLeft w:val="0"/>
      <w:marRight w:val="0"/>
      <w:marTop w:val="0"/>
      <w:marBottom w:val="0"/>
      <w:divBdr>
        <w:top w:val="none" w:sz="0" w:space="0" w:color="auto"/>
        <w:left w:val="none" w:sz="0" w:space="0" w:color="auto"/>
        <w:bottom w:val="none" w:sz="0" w:space="0" w:color="auto"/>
        <w:right w:val="none" w:sz="0" w:space="0" w:color="auto"/>
      </w:divBdr>
    </w:div>
    <w:div w:id="513304229">
      <w:bodyDiv w:val="1"/>
      <w:marLeft w:val="0"/>
      <w:marRight w:val="0"/>
      <w:marTop w:val="0"/>
      <w:marBottom w:val="0"/>
      <w:divBdr>
        <w:top w:val="none" w:sz="0" w:space="0" w:color="auto"/>
        <w:left w:val="none" w:sz="0" w:space="0" w:color="auto"/>
        <w:bottom w:val="none" w:sz="0" w:space="0" w:color="auto"/>
        <w:right w:val="none" w:sz="0" w:space="0" w:color="auto"/>
      </w:divBdr>
    </w:div>
    <w:div w:id="581836859">
      <w:bodyDiv w:val="1"/>
      <w:marLeft w:val="0"/>
      <w:marRight w:val="0"/>
      <w:marTop w:val="0"/>
      <w:marBottom w:val="0"/>
      <w:divBdr>
        <w:top w:val="none" w:sz="0" w:space="0" w:color="auto"/>
        <w:left w:val="none" w:sz="0" w:space="0" w:color="auto"/>
        <w:bottom w:val="none" w:sz="0" w:space="0" w:color="auto"/>
        <w:right w:val="none" w:sz="0" w:space="0" w:color="auto"/>
      </w:divBdr>
    </w:div>
    <w:div w:id="588737283">
      <w:bodyDiv w:val="1"/>
      <w:marLeft w:val="0"/>
      <w:marRight w:val="0"/>
      <w:marTop w:val="0"/>
      <w:marBottom w:val="0"/>
      <w:divBdr>
        <w:top w:val="none" w:sz="0" w:space="0" w:color="auto"/>
        <w:left w:val="none" w:sz="0" w:space="0" w:color="auto"/>
        <w:bottom w:val="none" w:sz="0" w:space="0" w:color="auto"/>
        <w:right w:val="none" w:sz="0" w:space="0" w:color="auto"/>
      </w:divBdr>
    </w:div>
    <w:div w:id="649091301">
      <w:bodyDiv w:val="1"/>
      <w:marLeft w:val="0"/>
      <w:marRight w:val="0"/>
      <w:marTop w:val="0"/>
      <w:marBottom w:val="0"/>
      <w:divBdr>
        <w:top w:val="none" w:sz="0" w:space="0" w:color="auto"/>
        <w:left w:val="none" w:sz="0" w:space="0" w:color="auto"/>
        <w:bottom w:val="none" w:sz="0" w:space="0" w:color="auto"/>
        <w:right w:val="none" w:sz="0" w:space="0" w:color="auto"/>
      </w:divBdr>
      <w:divsChild>
        <w:div w:id="739401048">
          <w:marLeft w:val="0"/>
          <w:marRight w:val="0"/>
          <w:marTop w:val="0"/>
          <w:marBottom w:val="240"/>
          <w:divBdr>
            <w:top w:val="none" w:sz="0" w:space="0" w:color="auto"/>
            <w:left w:val="none" w:sz="0" w:space="0" w:color="auto"/>
            <w:bottom w:val="none" w:sz="0" w:space="0" w:color="auto"/>
            <w:right w:val="none" w:sz="0" w:space="0" w:color="auto"/>
          </w:divBdr>
          <w:divsChild>
            <w:div w:id="6430048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266239">
      <w:bodyDiv w:val="1"/>
      <w:marLeft w:val="0"/>
      <w:marRight w:val="0"/>
      <w:marTop w:val="0"/>
      <w:marBottom w:val="0"/>
      <w:divBdr>
        <w:top w:val="none" w:sz="0" w:space="0" w:color="auto"/>
        <w:left w:val="none" w:sz="0" w:space="0" w:color="auto"/>
        <w:bottom w:val="none" w:sz="0" w:space="0" w:color="auto"/>
        <w:right w:val="none" w:sz="0" w:space="0" w:color="auto"/>
      </w:divBdr>
    </w:div>
    <w:div w:id="666245675">
      <w:bodyDiv w:val="1"/>
      <w:marLeft w:val="0"/>
      <w:marRight w:val="0"/>
      <w:marTop w:val="0"/>
      <w:marBottom w:val="0"/>
      <w:divBdr>
        <w:top w:val="none" w:sz="0" w:space="0" w:color="auto"/>
        <w:left w:val="none" w:sz="0" w:space="0" w:color="auto"/>
        <w:bottom w:val="none" w:sz="0" w:space="0" w:color="auto"/>
        <w:right w:val="none" w:sz="0" w:space="0" w:color="auto"/>
      </w:divBdr>
    </w:div>
    <w:div w:id="684015376">
      <w:bodyDiv w:val="1"/>
      <w:marLeft w:val="0"/>
      <w:marRight w:val="0"/>
      <w:marTop w:val="0"/>
      <w:marBottom w:val="0"/>
      <w:divBdr>
        <w:top w:val="none" w:sz="0" w:space="0" w:color="auto"/>
        <w:left w:val="none" w:sz="0" w:space="0" w:color="auto"/>
        <w:bottom w:val="none" w:sz="0" w:space="0" w:color="auto"/>
        <w:right w:val="none" w:sz="0" w:space="0" w:color="auto"/>
      </w:divBdr>
    </w:div>
    <w:div w:id="702943380">
      <w:bodyDiv w:val="1"/>
      <w:marLeft w:val="0"/>
      <w:marRight w:val="0"/>
      <w:marTop w:val="0"/>
      <w:marBottom w:val="0"/>
      <w:divBdr>
        <w:top w:val="none" w:sz="0" w:space="0" w:color="auto"/>
        <w:left w:val="none" w:sz="0" w:space="0" w:color="auto"/>
        <w:bottom w:val="none" w:sz="0" w:space="0" w:color="auto"/>
        <w:right w:val="none" w:sz="0" w:space="0" w:color="auto"/>
      </w:divBdr>
      <w:divsChild>
        <w:div w:id="1521701621">
          <w:marLeft w:val="0"/>
          <w:marRight w:val="0"/>
          <w:marTop w:val="0"/>
          <w:marBottom w:val="120"/>
          <w:divBdr>
            <w:top w:val="none" w:sz="0" w:space="0" w:color="auto"/>
            <w:left w:val="none" w:sz="0" w:space="0" w:color="auto"/>
            <w:bottom w:val="none" w:sz="0" w:space="0" w:color="auto"/>
            <w:right w:val="none" w:sz="0" w:space="0" w:color="auto"/>
          </w:divBdr>
          <w:divsChild>
            <w:div w:id="870848763">
              <w:marLeft w:val="0"/>
              <w:marRight w:val="0"/>
              <w:marTop w:val="0"/>
              <w:marBottom w:val="0"/>
              <w:divBdr>
                <w:top w:val="none" w:sz="0" w:space="0" w:color="auto"/>
                <w:left w:val="none" w:sz="0" w:space="0" w:color="auto"/>
                <w:bottom w:val="none" w:sz="0" w:space="0" w:color="auto"/>
                <w:right w:val="none" w:sz="0" w:space="0" w:color="auto"/>
              </w:divBdr>
              <w:divsChild>
                <w:div w:id="441876460">
                  <w:marLeft w:val="0"/>
                  <w:marRight w:val="0"/>
                  <w:marTop w:val="0"/>
                  <w:marBottom w:val="0"/>
                  <w:divBdr>
                    <w:top w:val="none" w:sz="0" w:space="0" w:color="auto"/>
                    <w:left w:val="none" w:sz="0" w:space="0" w:color="auto"/>
                    <w:bottom w:val="none" w:sz="0" w:space="0" w:color="auto"/>
                    <w:right w:val="none" w:sz="0" w:space="0" w:color="auto"/>
                  </w:divBdr>
                  <w:divsChild>
                    <w:div w:id="1614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02219">
          <w:marLeft w:val="0"/>
          <w:marRight w:val="0"/>
          <w:marTop w:val="0"/>
          <w:marBottom w:val="120"/>
          <w:divBdr>
            <w:top w:val="none" w:sz="0" w:space="0" w:color="auto"/>
            <w:left w:val="none" w:sz="0" w:space="0" w:color="auto"/>
            <w:bottom w:val="single" w:sz="12" w:space="9" w:color="EBEBEB"/>
            <w:right w:val="none" w:sz="0" w:space="0" w:color="auto"/>
          </w:divBdr>
          <w:divsChild>
            <w:div w:id="1310094377">
              <w:marLeft w:val="0"/>
              <w:marRight w:val="0"/>
              <w:marTop w:val="100"/>
              <w:marBottom w:val="100"/>
              <w:divBdr>
                <w:top w:val="none" w:sz="0" w:space="0" w:color="auto"/>
                <w:left w:val="none" w:sz="0" w:space="0" w:color="auto"/>
                <w:bottom w:val="none" w:sz="0" w:space="0" w:color="auto"/>
                <w:right w:val="none" w:sz="0" w:space="0" w:color="auto"/>
              </w:divBdr>
              <w:divsChild>
                <w:div w:id="8158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237">
      <w:bodyDiv w:val="1"/>
      <w:marLeft w:val="0"/>
      <w:marRight w:val="0"/>
      <w:marTop w:val="0"/>
      <w:marBottom w:val="0"/>
      <w:divBdr>
        <w:top w:val="none" w:sz="0" w:space="0" w:color="auto"/>
        <w:left w:val="none" w:sz="0" w:space="0" w:color="auto"/>
        <w:bottom w:val="none" w:sz="0" w:space="0" w:color="auto"/>
        <w:right w:val="none" w:sz="0" w:space="0" w:color="auto"/>
      </w:divBdr>
    </w:div>
    <w:div w:id="714626042">
      <w:bodyDiv w:val="1"/>
      <w:marLeft w:val="0"/>
      <w:marRight w:val="0"/>
      <w:marTop w:val="0"/>
      <w:marBottom w:val="0"/>
      <w:divBdr>
        <w:top w:val="none" w:sz="0" w:space="0" w:color="auto"/>
        <w:left w:val="none" w:sz="0" w:space="0" w:color="auto"/>
        <w:bottom w:val="none" w:sz="0" w:space="0" w:color="auto"/>
        <w:right w:val="none" w:sz="0" w:space="0" w:color="auto"/>
      </w:divBdr>
    </w:div>
    <w:div w:id="739139044">
      <w:bodyDiv w:val="1"/>
      <w:marLeft w:val="0"/>
      <w:marRight w:val="0"/>
      <w:marTop w:val="0"/>
      <w:marBottom w:val="0"/>
      <w:divBdr>
        <w:top w:val="none" w:sz="0" w:space="0" w:color="auto"/>
        <w:left w:val="none" w:sz="0" w:space="0" w:color="auto"/>
        <w:bottom w:val="none" w:sz="0" w:space="0" w:color="auto"/>
        <w:right w:val="none" w:sz="0" w:space="0" w:color="auto"/>
      </w:divBdr>
    </w:div>
    <w:div w:id="750079914">
      <w:bodyDiv w:val="1"/>
      <w:marLeft w:val="0"/>
      <w:marRight w:val="0"/>
      <w:marTop w:val="0"/>
      <w:marBottom w:val="0"/>
      <w:divBdr>
        <w:top w:val="none" w:sz="0" w:space="0" w:color="auto"/>
        <w:left w:val="none" w:sz="0" w:space="0" w:color="auto"/>
        <w:bottom w:val="none" w:sz="0" w:space="0" w:color="auto"/>
        <w:right w:val="none" w:sz="0" w:space="0" w:color="auto"/>
      </w:divBdr>
    </w:div>
    <w:div w:id="762649623">
      <w:bodyDiv w:val="1"/>
      <w:marLeft w:val="0"/>
      <w:marRight w:val="0"/>
      <w:marTop w:val="0"/>
      <w:marBottom w:val="0"/>
      <w:divBdr>
        <w:top w:val="none" w:sz="0" w:space="0" w:color="auto"/>
        <w:left w:val="none" w:sz="0" w:space="0" w:color="auto"/>
        <w:bottom w:val="none" w:sz="0" w:space="0" w:color="auto"/>
        <w:right w:val="none" w:sz="0" w:space="0" w:color="auto"/>
      </w:divBdr>
    </w:div>
    <w:div w:id="808788075">
      <w:bodyDiv w:val="1"/>
      <w:marLeft w:val="0"/>
      <w:marRight w:val="0"/>
      <w:marTop w:val="0"/>
      <w:marBottom w:val="0"/>
      <w:divBdr>
        <w:top w:val="none" w:sz="0" w:space="0" w:color="auto"/>
        <w:left w:val="none" w:sz="0" w:space="0" w:color="auto"/>
        <w:bottom w:val="none" w:sz="0" w:space="0" w:color="auto"/>
        <w:right w:val="none" w:sz="0" w:space="0" w:color="auto"/>
      </w:divBdr>
    </w:div>
    <w:div w:id="838040380">
      <w:bodyDiv w:val="1"/>
      <w:marLeft w:val="0"/>
      <w:marRight w:val="0"/>
      <w:marTop w:val="0"/>
      <w:marBottom w:val="0"/>
      <w:divBdr>
        <w:top w:val="none" w:sz="0" w:space="0" w:color="auto"/>
        <w:left w:val="none" w:sz="0" w:space="0" w:color="auto"/>
        <w:bottom w:val="none" w:sz="0" w:space="0" w:color="auto"/>
        <w:right w:val="none" w:sz="0" w:space="0" w:color="auto"/>
      </w:divBdr>
    </w:div>
    <w:div w:id="856117636">
      <w:bodyDiv w:val="1"/>
      <w:marLeft w:val="0"/>
      <w:marRight w:val="0"/>
      <w:marTop w:val="0"/>
      <w:marBottom w:val="0"/>
      <w:divBdr>
        <w:top w:val="none" w:sz="0" w:space="0" w:color="auto"/>
        <w:left w:val="none" w:sz="0" w:space="0" w:color="auto"/>
        <w:bottom w:val="none" w:sz="0" w:space="0" w:color="auto"/>
        <w:right w:val="none" w:sz="0" w:space="0" w:color="auto"/>
      </w:divBdr>
    </w:div>
    <w:div w:id="918637776">
      <w:bodyDiv w:val="1"/>
      <w:marLeft w:val="0"/>
      <w:marRight w:val="0"/>
      <w:marTop w:val="0"/>
      <w:marBottom w:val="0"/>
      <w:divBdr>
        <w:top w:val="none" w:sz="0" w:space="0" w:color="auto"/>
        <w:left w:val="none" w:sz="0" w:space="0" w:color="auto"/>
        <w:bottom w:val="none" w:sz="0" w:space="0" w:color="auto"/>
        <w:right w:val="none" w:sz="0" w:space="0" w:color="auto"/>
      </w:divBdr>
    </w:div>
    <w:div w:id="922183794">
      <w:bodyDiv w:val="1"/>
      <w:marLeft w:val="0"/>
      <w:marRight w:val="0"/>
      <w:marTop w:val="0"/>
      <w:marBottom w:val="0"/>
      <w:divBdr>
        <w:top w:val="none" w:sz="0" w:space="0" w:color="auto"/>
        <w:left w:val="none" w:sz="0" w:space="0" w:color="auto"/>
        <w:bottom w:val="none" w:sz="0" w:space="0" w:color="auto"/>
        <w:right w:val="none" w:sz="0" w:space="0" w:color="auto"/>
      </w:divBdr>
    </w:div>
    <w:div w:id="1010642177">
      <w:bodyDiv w:val="1"/>
      <w:marLeft w:val="0"/>
      <w:marRight w:val="0"/>
      <w:marTop w:val="0"/>
      <w:marBottom w:val="0"/>
      <w:divBdr>
        <w:top w:val="none" w:sz="0" w:space="0" w:color="auto"/>
        <w:left w:val="none" w:sz="0" w:space="0" w:color="auto"/>
        <w:bottom w:val="none" w:sz="0" w:space="0" w:color="auto"/>
        <w:right w:val="none" w:sz="0" w:space="0" w:color="auto"/>
      </w:divBdr>
    </w:div>
    <w:div w:id="1053385352">
      <w:bodyDiv w:val="1"/>
      <w:marLeft w:val="0"/>
      <w:marRight w:val="0"/>
      <w:marTop w:val="0"/>
      <w:marBottom w:val="0"/>
      <w:divBdr>
        <w:top w:val="none" w:sz="0" w:space="0" w:color="auto"/>
        <w:left w:val="none" w:sz="0" w:space="0" w:color="auto"/>
        <w:bottom w:val="none" w:sz="0" w:space="0" w:color="auto"/>
        <w:right w:val="none" w:sz="0" w:space="0" w:color="auto"/>
      </w:divBdr>
    </w:div>
    <w:div w:id="1109811123">
      <w:bodyDiv w:val="1"/>
      <w:marLeft w:val="0"/>
      <w:marRight w:val="0"/>
      <w:marTop w:val="0"/>
      <w:marBottom w:val="0"/>
      <w:divBdr>
        <w:top w:val="none" w:sz="0" w:space="0" w:color="auto"/>
        <w:left w:val="none" w:sz="0" w:space="0" w:color="auto"/>
        <w:bottom w:val="none" w:sz="0" w:space="0" w:color="auto"/>
        <w:right w:val="none" w:sz="0" w:space="0" w:color="auto"/>
      </w:divBdr>
    </w:div>
    <w:div w:id="1113863294">
      <w:bodyDiv w:val="1"/>
      <w:marLeft w:val="0"/>
      <w:marRight w:val="0"/>
      <w:marTop w:val="0"/>
      <w:marBottom w:val="0"/>
      <w:divBdr>
        <w:top w:val="none" w:sz="0" w:space="0" w:color="auto"/>
        <w:left w:val="none" w:sz="0" w:space="0" w:color="auto"/>
        <w:bottom w:val="none" w:sz="0" w:space="0" w:color="auto"/>
        <w:right w:val="none" w:sz="0" w:space="0" w:color="auto"/>
      </w:divBdr>
    </w:div>
    <w:div w:id="1150947652">
      <w:bodyDiv w:val="1"/>
      <w:marLeft w:val="0"/>
      <w:marRight w:val="0"/>
      <w:marTop w:val="0"/>
      <w:marBottom w:val="0"/>
      <w:divBdr>
        <w:top w:val="none" w:sz="0" w:space="0" w:color="auto"/>
        <w:left w:val="none" w:sz="0" w:space="0" w:color="auto"/>
        <w:bottom w:val="none" w:sz="0" w:space="0" w:color="auto"/>
        <w:right w:val="none" w:sz="0" w:space="0" w:color="auto"/>
      </w:divBdr>
    </w:div>
    <w:div w:id="1195849616">
      <w:bodyDiv w:val="1"/>
      <w:marLeft w:val="0"/>
      <w:marRight w:val="0"/>
      <w:marTop w:val="0"/>
      <w:marBottom w:val="0"/>
      <w:divBdr>
        <w:top w:val="none" w:sz="0" w:space="0" w:color="auto"/>
        <w:left w:val="none" w:sz="0" w:space="0" w:color="auto"/>
        <w:bottom w:val="none" w:sz="0" w:space="0" w:color="auto"/>
        <w:right w:val="none" w:sz="0" w:space="0" w:color="auto"/>
      </w:divBdr>
    </w:div>
    <w:div w:id="1197548018">
      <w:bodyDiv w:val="1"/>
      <w:marLeft w:val="0"/>
      <w:marRight w:val="0"/>
      <w:marTop w:val="0"/>
      <w:marBottom w:val="0"/>
      <w:divBdr>
        <w:top w:val="none" w:sz="0" w:space="0" w:color="auto"/>
        <w:left w:val="none" w:sz="0" w:space="0" w:color="auto"/>
        <w:bottom w:val="none" w:sz="0" w:space="0" w:color="auto"/>
        <w:right w:val="none" w:sz="0" w:space="0" w:color="auto"/>
      </w:divBdr>
    </w:div>
    <w:div w:id="1216619908">
      <w:bodyDiv w:val="1"/>
      <w:marLeft w:val="0"/>
      <w:marRight w:val="0"/>
      <w:marTop w:val="0"/>
      <w:marBottom w:val="0"/>
      <w:divBdr>
        <w:top w:val="none" w:sz="0" w:space="0" w:color="auto"/>
        <w:left w:val="none" w:sz="0" w:space="0" w:color="auto"/>
        <w:bottom w:val="none" w:sz="0" w:space="0" w:color="auto"/>
        <w:right w:val="none" w:sz="0" w:space="0" w:color="auto"/>
      </w:divBdr>
    </w:div>
    <w:div w:id="1243219083">
      <w:bodyDiv w:val="1"/>
      <w:marLeft w:val="0"/>
      <w:marRight w:val="0"/>
      <w:marTop w:val="0"/>
      <w:marBottom w:val="0"/>
      <w:divBdr>
        <w:top w:val="none" w:sz="0" w:space="0" w:color="auto"/>
        <w:left w:val="none" w:sz="0" w:space="0" w:color="auto"/>
        <w:bottom w:val="none" w:sz="0" w:space="0" w:color="auto"/>
        <w:right w:val="none" w:sz="0" w:space="0" w:color="auto"/>
      </w:divBdr>
    </w:div>
    <w:div w:id="1253470049">
      <w:bodyDiv w:val="1"/>
      <w:marLeft w:val="0"/>
      <w:marRight w:val="0"/>
      <w:marTop w:val="0"/>
      <w:marBottom w:val="0"/>
      <w:divBdr>
        <w:top w:val="none" w:sz="0" w:space="0" w:color="auto"/>
        <w:left w:val="none" w:sz="0" w:space="0" w:color="auto"/>
        <w:bottom w:val="none" w:sz="0" w:space="0" w:color="auto"/>
        <w:right w:val="none" w:sz="0" w:space="0" w:color="auto"/>
      </w:divBdr>
    </w:div>
    <w:div w:id="1300960255">
      <w:bodyDiv w:val="1"/>
      <w:marLeft w:val="0"/>
      <w:marRight w:val="0"/>
      <w:marTop w:val="0"/>
      <w:marBottom w:val="0"/>
      <w:divBdr>
        <w:top w:val="none" w:sz="0" w:space="0" w:color="auto"/>
        <w:left w:val="none" w:sz="0" w:space="0" w:color="auto"/>
        <w:bottom w:val="none" w:sz="0" w:space="0" w:color="auto"/>
        <w:right w:val="none" w:sz="0" w:space="0" w:color="auto"/>
      </w:divBdr>
    </w:div>
    <w:div w:id="1321078385">
      <w:bodyDiv w:val="1"/>
      <w:marLeft w:val="0"/>
      <w:marRight w:val="0"/>
      <w:marTop w:val="0"/>
      <w:marBottom w:val="0"/>
      <w:divBdr>
        <w:top w:val="none" w:sz="0" w:space="0" w:color="auto"/>
        <w:left w:val="none" w:sz="0" w:space="0" w:color="auto"/>
        <w:bottom w:val="none" w:sz="0" w:space="0" w:color="auto"/>
        <w:right w:val="none" w:sz="0" w:space="0" w:color="auto"/>
      </w:divBdr>
      <w:divsChild>
        <w:div w:id="618952381">
          <w:marLeft w:val="0"/>
          <w:marRight w:val="0"/>
          <w:marTop w:val="0"/>
          <w:marBottom w:val="0"/>
          <w:divBdr>
            <w:top w:val="none" w:sz="0" w:space="0" w:color="auto"/>
            <w:left w:val="none" w:sz="0" w:space="0" w:color="auto"/>
            <w:bottom w:val="none" w:sz="0" w:space="0" w:color="auto"/>
            <w:right w:val="none" w:sz="0" w:space="0" w:color="auto"/>
          </w:divBdr>
        </w:div>
        <w:div w:id="884104803">
          <w:marLeft w:val="0"/>
          <w:marRight w:val="0"/>
          <w:marTop w:val="0"/>
          <w:marBottom w:val="195"/>
          <w:divBdr>
            <w:top w:val="none" w:sz="0" w:space="0" w:color="auto"/>
            <w:left w:val="none" w:sz="0" w:space="0" w:color="auto"/>
            <w:bottom w:val="none" w:sz="0" w:space="0" w:color="auto"/>
            <w:right w:val="none" w:sz="0" w:space="0" w:color="auto"/>
          </w:divBdr>
        </w:div>
      </w:divsChild>
    </w:div>
    <w:div w:id="1331982720">
      <w:bodyDiv w:val="1"/>
      <w:marLeft w:val="0"/>
      <w:marRight w:val="0"/>
      <w:marTop w:val="0"/>
      <w:marBottom w:val="0"/>
      <w:divBdr>
        <w:top w:val="none" w:sz="0" w:space="0" w:color="auto"/>
        <w:left w:val="none" w:sz="0" w:space="0" w:color="auto"/>
        <w:bottom w:val="none" w:sz="0" w:space="0" w:color="auto"/>
        <w:right w:val="none" w:sz="0" w:space="0" w:color="auto"/>
      </w:divBdr>
    </w:div>
    <w:div w:id="1428891446">
      <w:bodyDiv w:val="1"/>
      <w:marLeft w:val="0"/>
      <w:marRight w:val="0"/>
      <w:marTop w:val="0"/>
      <w:marBottom w:val="0"/>
      <w:divBdr>
        <w:top w:val="none" w:sz="0" w:space="0" w:color="auto"/>
        <w:left w:val="none" w:sz="0" w:space="0" w:color="auto"/>
        <w:bottom w:val="none" w:sz="0" w:space="0" w:color="auto"/>
        <w:right w:val="none" w:sz="0" w:space="0" w:color="auto"/>
      </w:divBdr>
    </w:div>
    <w:div w:id="1440947553">
      <w:bodyDiv w:val="1"/>
      <w:marLeft w:val="0"/>
      <w:marRight w:val="0"/>
      <w:marTop w:val="0"/>
      <w:marBottom w:val="0"/>
      <w:divBdr>
        <w:top w:val="none" w:sz="0" w:space="0" w:color="auto"/>
        <w:left w:val="none" w:sz="0" w:space="0" w:color="auto"/>
        <w:bottom w:val="none" w:sz="0" w:space="0" w:color="auto"/>
        <w:right w:val="none" w:sz="0" w:space="0" w:color="auto"/>
      </w:divBdr>
    </w:div>
    <w:div w:id="1451970291">
      <w:bodyDiv w:val="1"/>
      <w:marLeft w:val="0"/>
      <w:marRight w:val="0"/>
      <w:marTop w:val="0"/>
      <w:marBottom w:val="0"/>
      <w:divBdr>
        <w:top w:val="none" w:sz="0" w:space="0" w:color="auto"/>
        <w:left w:val="none" w:sz="0" w:space="0" w:color="auto"/>
        <w:bottom w:val="none" w:sz="0" w:space="0" w:color="auto"/>
        <w:right w:val="none" w:sz="0" w:space="0" w:color="auto"/>
      </w:divBdr>
    </w:div>
    <w:div w:id="1452439610">
      <w:bodyDiv w:val="1"/>
      <w:marLeft w:val="0"/>
      <w:marRight w:val="0"/>
      <w:marTop w:val="0"/>
      <w:marBottom w:val="0"/>
      <w:divBdr>
        <w:top w:val="none" w:sz="0" w:space="0" w:color="auto"/>
        <w:left w:val="none" w:sz="0" w:space="0" w:color="auto"/>
        <w:bottom w:val="none" w:sz="0" w:space="0" w:color="auto"/>
        <w:right w:val="none" w:sz="0" w:space="0" w:color="auto"/>
      </w:divBdr>
    </w:div>
    <w:div w:id="1455706828">
      <w:bodyDiv w:val="1"/>
      <w:marLeft w:val="0"/>
      <w:marRight w:val="0"/>
      <w:marTop w:val="0"/>
      <w:marBottom w:val="0"/>
      <w:divBdr>
        <w:top w:val="none" w:sz="0" w:space="0" w:color="auto"/>
        <w:left w:val="none" w:sz="0" w:space="0" w:color="auto"/>
        <w:bottom w:val="none" w:sz="0" w:space="0" w:color="auto"/>
        <w:right w:val="none" w:sz="0" w:space="0" w:color="auto"/>
      </w:divBdr>
    </w:div>
    <w:div w:id="1467699415">
      <w:bodyDiv w:val="1"/>
      <w:marLeft w:val="0"/>
      <w:marRight w:val="0"/>
      <w:marTop w:val="0"/>
      <w:marBottom w:val="0"/>
      <w:divBdr>
        <w:top w:val="none" w:sz="0" w:space="0" w:color="auto"/>
        <w:left w:val="none" w:sz="0" w:space="0" w:color="auto"/>
        <w:bottom w:val="none" w:sz="0" w:space="0" w:color="auto"/>
        <w:right w:val="none" w:sz="0" w:space="0" w:color="auto"/>
      </w:divBdr>
    </w:div>
    <w:div w:id="1522933678">
      <w:bodyDiv w:val="1"/>
      <w:marLeft w:val="0"/>
      <w:marRight w:val="0"/>
      <w:marTop w:val="0"/>
      <w:marBottom w:val="0"/>
      <w:divBdr>
        <w:top w:val="none" w:sz="0" w:space="0" w:color="auto"/>
        <w:left w:val="none" w:sz="0" w:space="0" w:color="auto"/>
        <w:bottom w:val="none" w:sz="0" w:space="0" w:color="auto"/>
        <w:right w:val="none" w:sz="0" w:space="0" w:color="auto"/>
      </w:divBdr>
    </w:div>
    <w:div w:id="1665740735">
      <w:bodyDiv w:val="1"/>
      <w:marLeft w:val="0"/>
      <w:marRight w:val="0"/>
      <w:marTop w:val="0"/>
      <w:marBottom w:val="0"/>
      <w:divBdr>
        <w:top w:val="none" w:sz="0" w:space="0" w:color="auto"/>
        <w:left w:val="none" w:sz="0" w:space="0" w:color="auto"/>
        <w:bottom w:val="none" w:sz="0" w:space="0" w:color="auto"/>
        <w:right w:val="none" w:sz="0" w:space="0" w:color="auto"/>
      </w:divBdr>
    </w:div>
    <w:div w:id="1730499116">
      <w:bodyDiv w:val="1"/>
      <w:marLeft w:val="0"/>
      <w:marRight w:val="0"/>
      <w:marTop w:val="0"/>
      <w:marBottom w:val="0"/>
      <w:divBdr>
        <w:top w:val="none" w:sz="0" w:space="0" w:color="auto"/>
        <w:left w:val="none" w:sz="0" w:space="0" w:color="auto"/>
        <w:bottom w:val="none" w:sz="0" w:space="0" w:color="auto"/>
        <w:right w:val="none" w:sz="0" w:space="0" w:color="auto"/>
      </w:divBdr>
    </w:div>
    <w:div w:id="1779719244">
      <w:bodyDiv w:val="1"/>
      <w:marLeft w:val="0"/>
      <w:marRight w:val="0"/>
      <w:marTop w:val="0"/>
      <w:marBottom w:val="0"/>
      <w:divBdr>
        <w:top w:val="none" w:sz="0" w:space="0" w:color="auto"/>
        <w:left w:val="none" w:sz="0" w:space="0" w:color="auto"/>
        <w:bottom w:val="none" w:sz="0" w:space="0" w:color="auto"/>
        <w:right w:val="none" w:sz="0" w:space="0" w:color="auto"/>
      </w:divBdr>
    </w:div>
    <w:div w:id="1804733156">
      <w:bodyDiv w:val="1"/>
      <w:marLeft w:val="0"/>
      <w:marRight w:val="0"/>
      <w:marTop w:val="0"/>
      <w:marBottom w:val="0"/>
      <w:divBdr>
        <w:top w:val="none" w:sz="0" w:space="0" w:color="auto"/>
        <w:left w:val="none" w:sz="0" w:space="0" w:color="auto"/>
        <w:bottom w:val="none" w:sz="0" w:space="0" w:color="auto"/>
        <w:right w:val="none" w:sz="0" w:space="0" w:color="auto"/>
      </w:divBdr>
    </w:div>
    <w:div w:id="1866552263">
      <w:bodyDiv w:val="1"/>
      <w:marLeft w:val="0"/>
      <w:marRight w:val="0"/>
      <w:marTop w:val="0"/>
      <w:marBottom w:val="0"/>
      <w:divBdr>
        <w:top w:val="none" w:sz="0" w:space="0" w:color="auto"/>
        <w:left w:val="none" w:sz="0" w:space="0" w:color="auto"/>
        <w:bottom w:val="none" w:sz="0" w:space="0" w:color="auto"/>
        <w:right w:val="none" w:sz="0" w:space="0" w:color="auto"/>
      </w:divBdr>
    </w:div>
    <w:div w:id="1884246225">
      <w:bodyDiv w:val="1"/>
      <w:marLeft w:val="0"/>
      <w:marRight w:val="0"/>
      <w:marTop w:val="0"/>
      <w:marBottom w:val="0"/>
      <w:divBdr>
        <w:top w:val="none" w:sz="0" w:space="0" w:color="auto"/>
        <w:left w:val="none" w:sz="0" w:space="0" w:color="auto"/>
        <w:bottom w:val="none" w:sz="0" w:space="0" w:color="auto"/>
        <w:right w:val="none" w:sz="0" w:space="0" w:color="auto"/>
      </w:divBdr>
    </w:div>
    <w:div w:id="1885680891">
      <w:bodyDiv w:val="1"/>
      <w:marLeft w:val="0"/>
      <w:marRight w:val="0"/>
      <w:marTop w:val="0"/>
      <w:marBottom w:val="0"/>
      <w:divBdr>
        <w:top w:val="none" w:sz="0" w:space="0" w:color="auto"/>
        <w:left w:val="none" w:sz="0" w:space="0" w:color="auto"/>
        <w:bottom w:val="none" w:sz="0" w:space="0" w:color="auto"/>
        <w:right w:val="none" w:sz="0" w:space="0" w:color="auto"/>
      </w:divBdr>
    </w:div>
    <w:div w:id="2015378617">
      <w:bodyDiv w:val="1"/>
      <w:marLeft w:val="0"/>
      <w:marRight w:val="0"/>
      <w:marTop w:val="0"/>
      <w:marBottom w:val="0"/>
      <w:divBdr>
        <w:top w:val="none" w:sz="0" w:space="0" w:color="auto"/>
        <w:left w:val="none" w:sz="0" w:space="0" w:color="auto"/>
        <w:bottom w:val="none" w:sz="0" w:space="0" w:color="auto"/>
        <w:right w:val="none" w:sz="0" w:space="0" w:color="auto"/>
      </w:divBdr>
    </w:div>
    <w:div w:id="2034575087">
      <w:bodyDiv w:val="1"/>
      <w:marLeft w:val="0"/>
      <w:marRight w:val="0"/>
      <w:marTop w:val="0"/>
      <w:marBottom w:val="0"/>
      <w:divBdr>
        <w:top w:val="none" w:sz="0" w:space="0" w:color="auto"/>
        <w:left w:val="none" w:sz="0" w:space="0" w:color="auto"/>
        <w:bottom w:val="none" w:sz="0" w:space="0" w:color="auto"/>
        <w:right w:val="none" w:sz="0" w:space="0" w:color="auto"/>
      </w:divBdr>
    </w:div>
    <w:div w:id="2046296952">
      <w:bodyDiv w:val="1"/>
      <w:marLeft w:val="0"/>
      <w:marRight w:val="0"/>
      <w:marTop w:val="0"/>
      <w:marBottom w:val="0"/>
      <w:divBdr>
        <w:top w:val="none" w:sz="0" w:space="0" w:color="auto"/>
        <w:left w:val="none" w:sz="0" w:space="0" w:color="auto"/>
        <w:bottom w:val="none" w:sz="0" w:space="0" w:color="auto"/>
        <w:right w:val="none" w:sz="0" w:space="0" w:color="auto"/>
      </w:divBdr>
      <w:divsChild>
        <w:div w:id="46414335">
          <w:marLeft w:val="0"/>
          <w:marRight w:val="0"/>
          <w:marTop w:val="0"/>
          <w:marBottom w:val="0"/>
          <w:divBdr>
            <w:top w:val="none" w:sz="0" w:space="0" w:color="auto"/>
            <w:left w:val="none" w:sz="0" w:space="0" w:color="auto"/>
            <w:bottom w:val="none" w:sz="0" w:space="0" w:color="auto"/>
            <w:right w:val="none" w:sz="0" w:space="0" w:color="auto"/>
          </w:divBdr>
        </w:div>
        <w:div w:id="442502683">
          <w:marLeft w:val="0"/>
          <w:marRight w:val="0"/>
          <w:marTop w:val="0"/>
          <w:marBottom w:val="0"/>
          <w:divBdr>
            <w:top w:val="none" w:sz="0" w:space="0" w:color="auto"/>
            <w:left w:val="none" w:sz="0" w:space="0" w:color="auto"/>
            <w:bottom w:val="none" w:sz="0" w:space="0" w:color="auto"/>
            <w:right w:val="none" w:sz="0" w:space="0" w:color="auto"/>
          </w:divBdr>
        </w:div>
        <w:div w:id="552038208">
          <w:marLeft w:val="0"/>
          <w:marRight w:val="0"/>
          <w:marTop w:val="0"/>
          <w:marBottom w:val="0"/>
          <w:divBdr>
            <w:top w:val="none" w:sz="0" w:space="0" w:color="auto"/>
            <w:left w:val="none" w:sz="0" w:space="0" w:color="auto"/>
            <w:bottom w:val="none" w:sz="0" w:space="0" w:color="auto"/>
            <w:right w:val="none" w:sz="0" w:space="0" w:color="auto"/>
          </w:divBdr>
        </w:div>
        <w:div w:id="1113749353">
          <w:marLeft w:val="0"/>
          <w:marRight w:val="0"/>
          <w:marTop w:val="0"/>
          <w:marBottom w:val="0"/>
          <w:divBdr>
            <w:top w:val="none" w:sz="0" w:space="0" w:color="auto"/>
            <w:left w:val="none" w:sz="0" w:space="0" w:color="auto"/>
            <w:bottom w:val="none" w:sz="0" w:space="0" w:color="auto"/>
            <w:right w:val="none" w:sz="0" w:space="0" w:color="auto"/>
          </w:divBdr>
        </w:div>
        <w:div w:id="203510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Amandine Rushenguziminega</DisplayName>
        <AccountId>14</AccountId>
        <AccountType/>
      </UserInfo>
      <UserInfo>
        <DisplayName>Anu Peltola</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6480-047D-4886-B438-A9A266B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17363-9D56-4A3A-9B11-8677F0FFC114}">
  <ds:schemaRefs>
    <ds:schemaRef ds:uri="http://schemas.microsoft.com/sharepoint/v3/contenttype/forms"/>
  </ds:schemaRefs>
</ds:datastoreItem>
</file>

<file path=customXml/itemProps3.xml><?xml version="1.0" encoding="utf-8"?>
<ds:datastoreItem xmlns:ds="http://schemas.openxmlformats.org/officeDocument/2006/customXml" ds:itemID="{5A0356C0-CCAF-424B-BB8B-56E1F56A4A45}">
  <ds:schemaRefs>
    <ds:schemaRef ds:uri="http://schemas.microsoft.com/office/2006/metadata/properties"/>
    <ds:schemaRef ds:uri="http://schemas.microsoft.com/office/infopath/2007/PartnerControls"/>
    <ds:schemaRef ds:uri="068b94d1-f089-4c47-abb6-20f20898a544"/>
  </ds:schemaRefs>
</ds:datastoreItem>
</file>

<file path=customXml/itemProps4.xml><?xml version="1.0" encoding="utf-8"?>
<ds:datastoreItem xmlns:ds="http://schemas.openxmlformats.org/officeDocument/2006/customXml" ds:itemID="{D43DCF79-E221-4B0B-82E3-3811EDC0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Links>
    <vt:vector size="888" baseType="variant">
      <vt:variant>
        <vt:i4>5701642</vt:i4>
      </vt:variant>
      <vt:variant>
        <vt:i4>945</vt:i4>
      </vt:variant>
      <vt:variant>
        <vt:i4>0</vt:i4>
      </vt:variant>
      <vt:variant>
        <vt:i4>5</vt:i4>
      </vt:variant>
      <vt:variant>
        <vt:lpwstr>http://documents1.worldbank.org/curated/en/193061468782370806/pdf/multi-page.pdf</vt:lpwstr>
      </vt:variant>
      <vt:variant>
        <vt:lpwstr/>
      </vt:variant>
      <vt:variant>
        <vt:i4>7929890</vt:i4>
      </vt:variant>
      <vt:variant>
        <vt:i4>942</vt:i4>
      </vt:variant>
      <vt:variant>
        <vt:i4>0</vt:i4>
      </vt:variant>
      <vt:variant>
        <vt:i4>5</vt:i4>
      </vt:variant>
      <vt:variant>
        <vt:lpwstr>https://www.wider.unu.edu/sites/default/files/Publications/Working-paper/PDF/wp2018-111.pdf</vt:lpwstr>
      </vt:variant>
      <vt:variant>
        <vt:lpwstr/>
      </vt:variant>
      <vt:variant>
        <vt:i4>6094969</vt:i4>
      </vt:variant>
      <vt:variant>
        <vt:i4>939</vt:i4>
      </vt:variant>
      <vt:variant>
        <vt:i4>0</vt:i4>
      </vt:variant>
      <vt:variant>
        <vt:i4>5</vt:i4>
      </vt:variant>
      <vt:variant>
        <vt:lpwstr>http://www.wcoomd.org/-/media/wco/public/global/pdf/media/newsroom/reports/2018/wco-study-report-on-iffs_tm.pdf?la=en</vt:lpwstr>
      </vt:variant>
      <vt:variant>
        <vt:lpwstr/>
      </vt:variant>
      <vt:variant>
        <vt:i4>4259917</vt:i4>
      </vt:variant>
      <vt:variant>
        <vt:i4>936</vt:i4>
      </vt:variant>
      <vt:variant>
        <vt:i4>0</vt:i4>
      </vt:variant>
      <vt:variant>
        <vt:i4>5</vt:i4>
      </vt:variant>
      <vt:variant>
        <vt:lpwstr>http://www.wcoomd.org/-/media/wco/public/global/pdf/topics/valuation/instruments-and-tools/guides/guidelines_national_db.pdf?db=web</vt:lpwstr>
      </vt:variant>
      <vt:variant>
        <vt:lpwstr/>
      </vt:variant>
      <vt:variant>
        <vt:i4>6750320</vt:i4>
      </vt:variant>
      <vt:variant>
        <vt:i4>933</vt:i4>
      </vt:variant>
      <vt:variant>
        <vt:i4>0</vt:i4>
      </vt:variant>
      <vt:variant>
        <vt:i4>5</vt:i4>
      </vt:variant>
      <vt:variant>
        <vt:lpwstr>https://www.unescwa.org/sites/www.unescwa.org/files/events/files/escwa_iff_17.5x25_en_lr.pdf</vt:lpwstr>
      </vt:variant>
      <vt:variant>
        <vt:lpwstr/>
      </vt:variant>
      <vt:variant>
        <vt:i4>458804</vt:i4>
      </vt:variant>
      <vt:variant>
        <vt:i4>930</vt:i4>
      </vt:variant>
      <vt:variant>
        <vt:i4>0</vt:i4>
      </vt:variant>
      <vt:variant>
        <vt:i4>5</vt:i4>
      </vt:variant>
      <vt:variant>
        <vt:lpwstr>https://repositorio.cepal.org/bitstream/handle/11362/40327/S1600797_en.pdf?sequence=50&amp;isAllowed=y</vt:lpwstr>
      </vt:variant>
      <vt:variant>
        <vt:lpwstr/>
      </vt:variant>
      <vt:variant>
        <vt:i4>589830</vt:i4>
      </vt:variant>
      <vt:variant>
        <vt:i4>927</vt:i4>
      </vt:variant>
      <vt:variant>
        <vt:i4>0</vt:i4>
      </vt:variant>
      <vt:variant>
        <vt:i4>5</vt:i4>
      </vt:variant>
      <vt:variant>
        <vt:lpwstr>https://unece.org/statistics/publications/guide-sharing-economic-data-official-statistics</vt:lpwstr>
      </vt:variant>
      <vt:variant>
        <vt:lpwstr/>
      </vt:variant>
      <vt:variant>
        <vt:i4>5898242</vt:i4>
      </vt:variant>
      <vt:variant>
        <vt:i4>924</vt:i4>
      </vt:variant>
      <vt:variant>
        <vt:i4>0</vt:i4>
      </vt:variant>
      <vt:variant>
        <vt:i4>5</vt:i4>
      </vt:variant>
      <vt:variant>
        <vt:lpwstr>https://www.uneca.org/sites/default/files/PublicationFiles/iff_main_report_26feb_en.pdf</vt:lpwstr>
      </vt:variant>
      <vt:variant>
        <vt:lpwstr/>
      </vt:variant>
      <vt:variant>
        <vt:i4>6357060</vt:i4>
      </vt:variant>
      <vt:variant>
        <vt:i4>921</vt:i4>
      </vt:variant>
      <vt:variant>
        <vt:i4>0</vt:i4>
      </vt:variant>
      <vt:variant>
        <vt:i4>5</vt:i4>
      </vt:variant>
      <vt:variant>
        <vt:lpwstr>https://unctad.org/system/files/official-document/aldcafrica2020_en.pdf</vt:lpwstr>
      </vt:variant>
      <vt:variant>
        <vt:lpwstr/>
      </vt:variant>
      <vt:variant>
        <vt:i4>2162730</vt:i4>
      </vt:variant>
      <vt:variant>
        <vt:i4>918</vt:i4>
      </vt:variant>
      <vt:variant>
        <vt:i4>0</vt:i4>
      </vt:variant>
      <vt:variant>
        <vt:i4>5</vt:i4>
      </vt:variant>
      <vt:variant>
        <vt:lpwstr>https://unstats.un.org/unsd/dnss/gp/fundprinciples.aspx</vt:lpwstr>
      </vt:variant>
      <vt:variant>
        <vt:lpwstr/>
      </vt:variant>
      <vt:variant>
        <vt:i4>7274546</vt:i4>
      </vt:variant>
      <vt:variant>
        <vt:i4>915</vt:i4>
      </vt:variant>
      <vt:variant>
        <vt:i4>0</vt:i4>
      </vt:variant>
      <vt:variant>
        <vt:i4>5</vt:i4>
      </vt:variant>
      <vt:variant>
        <vt:lpwstr>http://unstats.un.org/unsd/trade/EG-IMTS/IMTS2010-CM - white cover version.pdf</vt:lpwstr>
      </vt:variant>
      <vt:variant>
        <vt:lpwstr/>
      </vt:variant>
      <vt:variant>
        <vt:i4>6881392</vt:i4>
      </vt:variant>
      <vt:variant>
        <vt:i4>912</vt:i4>
      </vt:variant>
      <vt:variant>
        <vt:i4>0</vt:i4>
      </vt:variant>
      <vt:variant>
        <vt:i4>5</vt:i4>
      </vt:variant>
      <vt:variant>
        <vt:lpwstr>http://gabriel-zucman.eu/files/TWZ2020.pdf</vt:lpwstr>
      </vt:variant>
      <vt:variant>
        <vt:lpwstr/>
      </vt:variant>
      <vt:variant>
        <vt:i4>131084</vt:i4>
      </vt:variant>
      <vt:variant>
        <vt:i4>909</vt:i4>
      </vt:variant>
      <vt:variant>
        <vt:i4>0</vt:i4>
      </vt:variant>
      <vt:variant>
        <vt:i4>5</vt:i4>
      </vt:variant>
      <vt:variant>
        <vt:lpwstr>https://www.taxjustice.net/reports/the-state-of-tax-justice-2020/</vt:lpwstr>
      </vt:variant>
      <vt:variant>
        <vt:lpwstr/>
      </vt:variant>
      <vt:variant>
        <vt:i4>6815787</vt:i4>
      </vt:variant>
      <vt:variant>
        <vt:i4>906</vt:i4>
      </vt:variant>
      <vt:variant>
        <vt:i4>0</vt:i4>
      </vt:variant>
      <vt:variant>
        <vt:i4>5</vt:i4>
      </vt:variant>
      <vt:variant>
        <vt:lpwstr>https://fsi.taxjustice.net/en/</vt:lpwstr>
      </vt:variant>
      <vt:variant>
        <vt:lpwstr/>
      </vt:variant>
      <vt:variant>
        <vt:i4>4849672</vt:i4>
      </vt:variant>
      <vt:variant>
        <vt:i4>903</vt:i4>
      </vt:variant>
      <vt:variant>
        <vt:i4>0</vt:i4>
      </vt:variant>
      <vt:variant>
        <vt:i4>5</vt:i4>
      </vt:variant>
      <vt:variant>
        <vt:lpwstr>https://www.irs.gov/newsroom/the-tax-gap</vt:lpwstr>
      </vt:variant>
      <vt:variant>
        <vt:lpwstr/>
      </vt:variant>
      <vt:variant>
        <vt:i4>7077948</vt:i4>
      </vt:variant>
      <vt:variant>
        <vt:i4>900</vt:i4>
      </vt:variant>
      <vt:variant>
        <vt:i4>0</vt:i4>
      </vt:variant>
      <vt:variant>
        <vt:i4>5</vt:i4>
      </vt:variant>
      <vt:variant>
        <vt:lpwstr>http://www.taxresearch.org.uk/Documents/Secrecyjurisdiction.pdf</vt:lpwstr>
      </vt:variant>
      <vt:variant>
        <vt:lpwstr/>
      </vt:variant>
      <vt:variant>
        <vt:i4>3670130</vt:i4>
      </vt:variant>
      <vt:variant>
        <vt:i4>897</vt:i4>
      </vt:variant>
      <vt:variant>
        <vt:i4>0</vt:i4>
      </vt:variant>
      <vt:variant>
        <vt:i4>5</vt:i4>
      </vt:variant>
      <vt:variant>
        <vt:lpwstr>https://www150.statcan.gc.ca/n1/pub/13-605-x/2018001/article/54962-eng.pdf</vt:lpwstr>
      </vt:variant>
      <vt:variant>
        <vt:lpwstr/>
      </vt:variant>
      <vt:variant>
        <vt:i4>5505079</vt:i4>
      </vt:variant>
      <vt:variant>
        <vt:i4>894</vt:i4>
      </vt:variant>
      <vt:variant>
        <vt:i4>0</vt:i4>
      </vt:variant>
      <vt:variant>
        <vt:i4>5</vt:i4>
      </vt:variant>
      <vt:variant>
        <vt:lpwstr>https://unctad.org/system/files/official-document/ser-rp-2021d7_en.pdf</vt:lpwstr>
      </vt:variant>
      <vt:variant>
        <vt:lpwstr/>
      </vt:variant>
      <vt:variant>
        <vt:i4>458826</vt:i4>
      </vt:variant>
      <vt:variant>
        <vt:i4>891</vt:i4>
      </vt:variant>
      <vt:variant>
        <vt:i4>0</vt:i4>
      </vt:variant>
      <vt:variant>
        <vt:i4>5</vt:i4>
      </vt:variant>
      <vt:variant>
        <vt:lpwstr>https://www.vero.fi/globalassets/harmaa-talous-ja-talousrikollisuus/laajuus/kuvat-videot-ja-tiedostot/sis%C3%A4kauppapetokset.pdf</vt:lpwstr>
      </vt:variant>
      <vt:variant>
        <vt:lpwstr/>
      </vt:variant>
      <vt:variant>
        <vt:i4>7471138</vt:i4>
      </vt:variant>
      <vt:variant>
        <vt:i4>888</vt:i4>
      </vt:variant>
      <vt:variant>
        <vt:i4>0</vt:i4>
      </vt:variant>
      <vt:variant>
        <vt:i4>5</vt:i4>
      </vt:variant>
      <vt:variant>
        <vt:lpwstr>https://www.ons.gov.uk/economy/nationalaccounts/balanceofpayments/timeseries/ofnn/mret/previous/v24</vt:lpwstr>
      </vt:variant>
      <vt:variant>
        <vt:lpwstr/>
      </vt:variant>
      <vt:variant>
        <vt:i4>7667767</vt:i4>
      </vt:variant>
      <vt:variant>
        <vt:i4>885</vt:i4>
      </vt:variant>
      <vt:variant>
        <vt:i4>0</vt:i4>
      </vt:variant>
      <vt:variant>
        <vt:i4>5</vt:i4>
      </vt:variant>
      <vt:variant>
        <vt:lpwstr>https://www.one.org/international/policy/phantom-firms/</vt:lpwstr>
      </vt:variant>
      <vt:variant>
        <vt:lpwstr/>
      </vt:variant>
      <vt:variant>
        <vt:i4>6946937</vt:i4>
      </vt:variant>
      <vt:variant>
        <vt:i4>882</vt:i4>
      </vt:variant>
      <vt:variant>
        <vt:i4>0</vt:i4>
      </vt:variant>
      <vt:variant>
        <vt:i4>5</vt:i4>
      </vt:variant>
      <vt:variant>
        <vt:lpwstr>https://www.oecd.org/ctp/glossaryoftaxterms.htm</vt:lpwstr>
      </vt:variant>
      <vt:variant>
        <vt:lpwstr/>
      </vt:variant>
      <vt:variant>
        <vt:i4>4391003</vt:i4>
      </vt:variant>
      <vt:variant>
        <vt:i4>879</vt:i4>
      </vt:variant>
      <vt:variant>
        <vt:i4>0</vt:i4>
      </vt:variant>
      <vt:variant>
        <vt:i4>5</vt:i4>
      </vt:variant>
      <vt:variant>
        <vt:lpwstr>https://www.oecd-ilibrary.org/docserver/0e3cc2d4-en.pdf?expires=1617629872&amp;id=id&amp;accname=guest&amp;checksum=E7000DC6AB033F3169C28CE604A51FE2</vt:lpwstr>
      </vt:variant>
      <vt:variant>
        <vt:lpwstr/>
      </vt:variant>
      <vt:variant>
        <vt:i4>1507404</vt:i4>
      </vt:variant>
      <vt:variant>
        <vt:i4>876</vt:i4>
      </vt:variant>
      <vt:variant>
        <vt:i4>0</vt:i4>
      </vt:variant>
      <vt:variant>
        <vt:i4>5</vt:i4>
      </vt:variant>
      <vt:variant>
        <vt:lpwstr>https://www.oecd.org/tax/tax-policy/anonymised-and-aggregated-cbcr-statistics-disclaimer.pdf</vt:lpwstr>
      </vt:variant>
      <vt:variant>
        <vt:lpwstr/>
      </vt:variant>
      <vt:variant>
        <vt:i4>3997758</vt:i4>
      </vt:variant>
      <vt:variant>
        <vt:i4>873</vt:i4>
      </vt:variant>
      <vt:variant>
        <vt:i4>0</vt:i4>
      </vt:variant>
      <vt:variant>
        <vt:i4>5</vt:i4>
      </vt:variant>
      <vt:variant>
        <vt:lpwstr>https://doi.org/10.1787/tpg-2017-en.77</vt:lpwstr>
      </vt:variant>
      <vt:variant>
        <vt:lpwstr/>
      </vt:variant>
      <vt:variant>
        <vt:i4>5570680</vt:i4>
      </vt:variant>
      <vt:variant>
        <vt:i4>870</vt:i4>
      </vt:variant>
      <vt:variant>
        <vt:i4>0</vt:i4>
      </vt:variant>
      <vt:variant>
        <vt:i4>5</vt:i4>
      </vt:variant>
      <vt:variant>
        <vt:lpwstr>https://read.oecd-ilibrary.org/taxation/measuring-and-monitoring-beps-action-11-2015-final-report_9789264241343-en</vt:lpwstr>
      </vt:variant>
      <vt:variant>
        <vt:lpwstr>page1</vt:lpwstr>
      </vt:variant>
      <vt:variant>
        <vt:i4>7012359</vt:i4>
      </vt:variant>
      <vt:variant>
        <vt:i4>867</vt:i4>
      </vt:variant>
      <vt:variant>
        <vt:i4>0</vt:i4>
      </vt:variant>
      <vt:variant>
        <vt:i4>5</vt:i4>
      </vt:variant>
      <vt:variant>
        <vt:lpwstr>https://read.oecd-ilibrary.org/governance/annual-report-on-the-oecd-guidelines-for-multinational-enterprises-2006_mne-2006-en</vt:lpwstr>
      </vt:variant>
      <vt:variant>
        <vt:lpwstr>page4</vt:lpwstr>
      </vt:variant>
      <vt:variant>
        <vt:i4>4128800</vt:i4>
      </vt:variant>
      <vt:variant>
        <vt:i4>864</vt:i4>
      </vt:variant>
      <vt:variant>
        <vt:i4>0</vt:i4>
      </vt:variant>
      <vt:variant>
        <vt:i4>5</vt:i4>
      </vt:variant>
      <vt:variant>
        <vt:lpwstr>https://curbingiffsdotorg.files.wordpress.com/2020/03/lao-wp1_trademispricing_june2020.pdf</vt:lpwstr>
      </vt:variant>
      <vt:variant>
        <vt:lpwstr/>
      </vt:variant>
      <vt:variant>
        <vt:i4>4849731</vt:i4>
      </vt:variant>
      <vt:variant>
        <vt:i4>861</vt:i4>
      </vt:variant>
      <vt:variant>
        <vt:i4>0</vt:i4>
      </vt:variant>
      <vt:variant>
        <vt:i4>5</vt:i4>
      </vt:variant>
      <vt:variant>
        <vt:lpwstr>https://www.msci.com/acwi</vt:lpwstr>
      </vt:variant>
      <vt:variant>
        <vt:lpwstr/>
      </vt:variant>
      <vt:variant>
        <vt:i4>1638430</vt:i4>
      </vt:variant>
      <vt:variant>
        <vt:i4>858</vt:i4>
      </vt:variant>
      <vt:variant>
        <vt:i4>0</vt:i4>
      </vt:variant>
      <vt:variant>
        <vt:i4>5</vt:i4>
      </vt:variant>
      <vt:variant>
        <vt:lpwstr>https://www.oxfordreference.com/view/10.1093/acref/9780198294818.001.0001/acref-9780198294818</vt:lpwstr>
      </vt:variant>
      <vt:variant>
        <vt:lpwstr/>
      </vt:variant>
      <vt:variant>
        <vt:i4>4522001</vt:i4>
      </vt:variant>
      <vt:variant>
        <vt:i4>855</vt:i4>
      </vt:variant>
      <vt:variant>
        <vt:i4>0</vt:i4>
      </vt:variant>
      <vt:variant>
        <vt:i4>5</vt:i4>
      </vt:variant>
      <vt:variant>
        <vt:lpwstr>https://www.imf.org/en/Publications/WP/Issues/2018/01/25/Shadow-Economies-Around-the-World-What-Did-We-Learn-Over-the-Last-20-Years-45583</vt:lpwstr>
      </vt:variant>
      <vt:variant>
        <vt:lpwstr/>
      </vt:variant>
      <vt:variant>
        <vt:i4>6422550</vt:i4>
      </vt:variant>
      <vt:variant>
        <vt:i4>852</vt:i4>
      </vt:variant>
      <vt:variant>
        <vt:i4>0</vt:i4>
      </vt:variant>
      <vt:variant>
        <vt:i4>5</vt:i4>
      </vt:variant>
      <vt:variant>
        <vt:lpwstr>https://www.bis.org/publ/qtrpdf/r_qt1909b.pdf</vt:lpwstr>
      </vt:variant>
      <vt:variant>
        <vt:lpwstr/>
      </vt:variant>
      <vt:variant>
        <vt:i4>4980738</vt:i4>
      </vt:variant>
      <vt:variant>
        <vt:i4>849</vt:i4>
      </vt:variant>
      <vt:variant>
        <vt:i4>0</vt:i4>
      </vt:variant>
      <vt:variant>
        <vt:i4>5</vt:i4>
      </vt:variant>
      <vt:variant>
        <vt:lpwstr>https://alicelepissier.com/jupyter-book-IFF/welcome.html</vt:lpwstr>
      </vt:variant>
      <vt:variant>
        <vt:lpwstr/>
      </vt:variant>
      <vt:variant>
        <vt:i4>262174</vt:i4>
      </vt:variant>
      <vt:variant>
        <vt:i4>846</vt:i4>
      </vt:variant>
      <vt:variant>
        <vt:i4>0</vt:i4>
      </vt:variant>
      <vt:variant>
        <vt:i4>5</vt:i4>
      </vt:variant>
      <vt:variant>
        <vt:lpwstr>https://nta.confex.com/nta/2020/meetingapp.cgi/Paper/3750</vt:lpwstr>
      </vt:variant>
      <vt:variant>
        <vt:lpwstr/>
      </vt:variant>
      <vt:variant>
        <vt:i4>7995495</vt:i4>
      </vt:variant>
      <vt:variant>
        <vt:i4>843</vt:i4>
      </vt:variant>
      <vt:variant>
        <vt:i4>0</vt:i4>
      </vt:variant>
      <vt:variant>
        <vt:i4>5</vt:i4>
      </vt:variant>
      <vt:variant>
        <vt:lpwstr>https://www.unescap.org/sites/default/files/publications/Where_and_how_to_dodge_taxes_and_shift_money_abroad_using_trade_misinvoicing_A_beginner%E2%80%99s_guide_0.pdf</vt:lpwstr>
      </vt:variant>
      <vt:variant>
        <vt:lpwstr/>
      </vt:variant>
      <vt:variant>
        <vt:i4>4259842</vt:i4>
      </vt:variant>
      <vt:variant>
        <vt:i4>840</vt:i4>
      </vt:variant>
      <vt:variant>
        <vt:i4>0</vt:i4>
      </vt:variant>
      <vt:variant>
        <vt:i4>5</vt:i4>
      </vt:variant>
      <vt:variant>
        <vt:lpwstr>https://ace.soas.ac.uk/wp-content/uploads/2019/04/ACE-WorkingPaper010-IllicitFinancialFlows-181129-2.pdf</vt:lpwstr>
      </vt:variant>
      <vt:variant>
        <vt:lpwstr/>
      </vt:variant>
      <vt:variant>
        <vt:i4>3342415</vt:i4>
      </vt:variant>
      <vt:variant>
        <vt:i4>837</vt:i4>
      </vt:variant>
      <vt:variant>
        <vt:i4>0</vt:i4>
      </vt:variant>
      <vt:variant>
        <vt:i4>5</vt:i4>
      </vt:variant>
      <vt:variant>
        <vt:lpwstr>https://papers.ssrn.com/sol3/papers.cfm?abstract_id=2335028</vt:lpwstr>
      </vt:variant>
      <vt:variant>
        <vt:lpwstr/>
      </vt:variant>
      <vt:variant>
        <vt:i4>6094912</vt:i4>
      </vt:variant>
      <vt:variant>
        <vt:i4>834</vt:i4>
      </vt:variant>
      <vt:variant>
        <vt:i4>0</vt:i4>
      </vt:variant>
      <vt:variant>
        <vt:i4>5</vt:i4>
      </vt:variant>
      <vt:variant>
        <vt:lpwstr>https://www.gfintegrity.org/wp-content/uploads/2014/05/Illicit_Financial_Flows_from_Developing_Countries_2001-2010-HighRes.pdf</vt:lpwstr>
      </vt:variant>
      <vt:variant>
        <vt:lpwstr/>
      </vt:variant>
      <vt:variant>
        <vt:i4>2162742</vt:i4>
      </vt:variant>
      <vt:variant>
        <vt:i4>831</vt:i4>
      </vt:variant>
      <vt:variant>
        <vt:i4>0</vt:i4>
      </vt:variant>
      <vt:variant>
        <vt:i4>5</vt:i4>
      </vt:variant>
      <vt:variant>
        <vt:lpwstr>https://doi.org/10.1007/s10797-019-09547-8</vt:lpwstr>
      </vt:variant>
      <vt:variant>
        <vt:lpwstr/>
      </vt:variant>
      <vt:variant>
        <vt:i4>3538981</vt:i4>
      </vt:variant>
      <vt:variant>
        <vt:i4>828</vt:i4>
      </vt:variant>
      <vt:variant>
        <vt:i4>0</vt:i4>
      </vt:variant>
      <vt:variant>
        <vt:i4>5</vt:i4>
      </vt:variant>
      <vt:variant>
        <vt:lpwstr>https://www.imf.org/external/pubs/ft/bop/2019/pdf/19-03.pdf</vt:lpwstr>
      </vt:variant>
      <vt:variant>
        <vt:lpwstr/>
      </vt:variant>
      <vt:variant>
        <vt:i4>3604516</vt:i4>
      </vt:variant>
      <vt:variant>
        <vt:i4>825</vt:i4>
      </vt:variant>
      <vt:variant>
        <vt:i4>0</vt:i4>
      </vt:variant>
      <vt:variant>
        <vt:i4>5</vt:i4>
      </vt:variant>
      <vt:variant>
        <vt:lpwstr>https://www.imf.org/external/pubs/ft/bop/2018/pdf/18-03.pdf</vt:lpwstr>
      </vt:variant>
      <vt:variant>
        <vt:lpwstr/>
      </vt:variant>
      <vt:variant>
        <vt:i4>1572943</vt:i4>
      </vt:variant>
      <vt:variant>
        <vt:i4>822</vt:i4>
      </vt:variant>
      <vt:variant>
        <vt:i4>0</vt:i4>
      </vt:variant>
      <vt:variant>
        <vt:i4>5</vt:i4>
      </vt:variant>
      <vt:variant>
        <vt:lpwstr>https://www.imf.org/external/pubs/ft/scr/2015/cr15180.pdf</vt:lpwstr>
      </vt:variant>
      <vt:variant>
        <vt:lpwstr/>
      </vt:variant>
      <vt:variant>
        <vt:i4>917601</vt:i4>
      </vt:variant>
      <vt:variant>
        <vt:i4>819</vt:i4>
      </vt:variant>
      <vt:variant>
        <vt:i4>0</vt:i4>
      </vt:variant>
      <vt:variant>
        <vt:i4>5</vt:i4>
      </vt:variant>
      <vt:variant>
        <vt:lpwstr>http://www.ilo.org/ilc/ILCSessions/104/texts-adopted/WCMS_377774/lang--en/index.htm</vt:lpwstr>
      </vt:variant>
      <vt:variant>
        <vt:lpwstr/>
      </vt:variant>
      <vt:variant>
        <vt:i4>4784193</vt:i4>
      </vt:variant>
      <vt:variant>
        <vt:i4>816</vt:i4>
      </vt:variant>
      <vt:variant>
        <vt:i4>0</vt:i4>
      </vt:variant>
      <vt:variant>
        <vt:i4>5</vt:i4>
      </vt:variant>
      <vt:variant>
        <vt:lpwstr>https://unstats.un.org/unsd/statcom/50th-session/documents/BG-3a-Best-Practices-in-Data-Flows-and-Global-Data-Reporting-for-theSDGs-E.pdf</vt:lpwstr>
      </vt:variant>
      <vt:variant>
        <vt:lpwstr/>
      </vt:variant>
      <vt:variant>
        <vt:i4>7798811</vt:i4>
      </vt:variant>
      <vt:variant>
        <vt:i4>813</vt:i4>
      </vt:variant>
      <vt:variant>
        <vt:i4>0</vt:i4>
      </vt:variant>
      <vt:variant>
        <vt:i4>5</vt:i4>
      </vt:variant>
      <vt:variant>
        <vt:lpwstr>https://www.researchgate.net/publication/228807850_Usable_Data_Matched_Partner_Trade_Statistics_as_a_Measure_of_International_Transportation_Costs/download</vt:lpwstr>
      </vt:variant>
      <vt:variant>
        <vt:lpwstr/>
      </vt:variant>
      <vt:variant>
        <vt:i4>2490414</vt:i4>
      </vt:variant>
      <vt:variant>
        <vt:i4>810</vt:i4>
      </vt:variant>
      <vt:variant>
        <vt:i4>0</vt:i4>
      </vt:variant>
      <vt:variant>
        <vt:i4>5</vt:i4>
      </vt:variant>
      <vt:variant>
        <vt:lpwstr>https://www.imf.org/-/media/Files/Publications/WP/2021/English/wpiea2021041-print-pdf.ashx</vt:lpwstr>
      </vt:variant>
      <vt:variant>
        <vt:lpwstr/>
      </vt:variant>
      <vt:variant>
        <vt:i4>3539035</vt:i4>
      </vt:variant>
      <vt:variant>
        <vt:i4>807</vt:i4>
      </vt:variant>
      <vt:variant>
        <vt:i4>0</vt:i4>
      </vt:variant>
      <vt:variant>
        <vt:i4>5</vt:i4>
      </vt:variant>
      <vt:variant>
        <vt:lpwstr>https://www.cepal.org/sites/default/files/publication/files/44716/RVI127_Hanni.pdf</vt:lpwstr>
      </vt:variant>
      <vt:variant>
        <vt:lpwstr/>
      </vt:variant>
      <vt:variant>
        <vt:i4>3211389</vt:i4>
      </vt:variant>
      <vt:variant>
        <vt:i4>804</vt:i4>
      </vt:variant>
      <vt:variant>
        <vt:i4>0</vt:i4>
      </vt:variant>
      <vt:variant>
        <vt:i4>5</vt:i4>
      </vt:variant>
      <vt:variant>
        <vt:lpwstr>https://doi.org/10.1093/jeg/lbu003</vt:lpwstr>
      </vt:variant>
      <vt:variant>
        <vt:lpwstr/>
      </vt:variant>
      <vt:variant>
        <vt:i4>2031730</vt:i4>
      </vt:variant>
      <vt:variant>
        <vt:i4>801</vt:i4>
      </vt:variant>
      <vt:variant>
        <vt:i4>0</vt:i4>
      </vt:variant>
      <vt:variant>
        <vt:i4>5</vt:i4>
      </vt:variant>
      <vt:variant>
        <vt:lpwstr>https://secureservercdn.net/45.40.149.159/34n.8bd.myftpupload.com/wp-content/uploads/2019/01/IFF-Report-2019_11.18.19.pdf?time=1603280556</vt:lpwstr>
      </vt:variant>
      <vt:variant>
        <vt:lpwstr/>
      </vt:variant>
      <vt:variant>
        <vt:i4>7995433</vt:i4>
      </vt:variant>
      <vt:variant>
        <vt:i4>798</vt:i4>
      </vt:variant>
      <vt:variant>
        <vt:i4>0</vt:i4>
      </vt:variant>
      <vt:variant>
        <vt:i4>5</vt:i4>
      </vt:variant>
      <vt:variant>
        <vt:lpwstr>http://www.cepii.fr/baci_data/freight_rates/freight_rates_doc.pdf</vt:lpwstr>
      </vt:variant>
      <vt:variant>
        <vt:lpwstr/>
      </vt:variant>
      <vt:variant>
        <vt:i4>1114151</vt:i4>
      </vt:variant>
      <vt:variant>
        <vt:i4>795</vt:i4>
      </vt:variant>
      <vt:variant>
        <vt:i4>0</vt:i4>
      </vt:variant>
      <vt:variant>
        <vt:i4>5</vt:i4>
      </vt:variant>
      <vt:variant>
        <vt:lpwstr>https://opendocs.ids.ac.uk/opendocs/bitstream/handle/20.500.12413/16467/ICTD_WP119.pdf?sequence=1&amp;isAllowed=y</vt:lpwstr>
      </vt:variant>
      <vt:variant>
        <vt:lpwstr/>
      </vt:variant>
      <vt:variant>
        <vt:i4>7995509</vt:i4>
      </vt:variant>
      <vt:variant>
        <vt:i4>792</vt:i4>
      </vt:variant>
      <vt:variant>
        <vt:i4>0</vt:i4>
      </vt:variant>
      <vt:variant>
        <vt:i4>5</vt:i4>
      </vt:variant>
      <vt:variant>
        <vt:lpwstr>http://dx.doi.org/10.2139/ssrn.2758566</vt:lpwstr>
      </vt:variant>
      <vt:variant>
        <vt:lpwstr/>
      </vt:variant>
      <vt:variant>
        <vt:i4>1376335</vt:i4>
      </vt:variant>
      <vt:variant>
        <vt:i4>789</vt:i4>
      </vt:variant>
      <vt:variant>
        <vt:i4>0</vt:i4>
      </vt:variant>
      <vt:variant>
        <vt:i4>5</vt:i4>
      </vt:variant>
      <vt:variant>
        <vt:lpwstr>https://www150.statcan.gc.ca/n1/pub/11-621-m/11-621-m2019002-eng.htm</vt:lpwstr>
      </vt:variant>
      <vt:variant>
        <vt:lpwstr/>
      </vt:variant>
      <vt:variant>
        <vt:i4>6946850</vt:i4>
      </vt:variant>
      <vt:variant>
        <vt:i4>786</vt:i4>
      </vt:variant>
      <vt:variant>
        <vt:i4>0</vt:i4>
      </vt:variant>
      <vt:variant>
        <vt:i4>5</vt:i4>
      </vt:variant>
      <vt:variant>
        <vt:lpwstr>https://developingeconomics.org/2020/11/24/haemorrhaging-zambia-prequel-to-the-current-debt-crisis/</vt:lpwstr>
      </vt:variant>
      <vt:variant>
        <vt:lpwstr/>
      </vt:variant>
      <vt:variant>
        <vt:i4>4259871</vt:i4>
      </vt:variant>
      <vt:variant>
        <vt:i4>783</vt:i4>
      </vt:variant>
      <vt:variant>
        <vt:i4>0</vt:i4>
      </vt:variant>
      <vt:variant>
        <vt:i4>5</vt:i4>
      </vt:variant>
      <vt:variant>
        <vt:lpwstr>https://www.europol.europa.eu/newsroom/news/carousel-of-vat-abuse-dozens-arrested-in-connection-multi-million-tax-evasion-schemes</vt:lpwstr>
      </vt:variant>
      <vt:variant>
        <vt:lpwstr/>
      </vt:variant>
      <vt:variant>
        <vt:i4>6750298</vt:i4>
      </vt:variant>
      <vt:variant>
        <vt:i4>780</vt:i4>
      </vt:variant>
      <vt:variant>
        <vt:i4>0</vt:i4>
      </vt:variant>
      <vt:variant>
        <vt:i4>5</vt:i4>
      </vt:variant>
      <vt:variant>
        <vt:lpwstr>https://www.europarl.europa.eu/cmsdata/155724/EPRS_STUD_627129_Shell companies in the EU.pdf</vt:lpwstr>
      </vt:variant>
      <vt:variant>
        <vt:lpwstr/>
      </vt:variant>
      <vt:variant>
        <vt:i4>7471166</vt:i4>
      </vt:variant>
      <vt:variant>
        <vt:i4>777</vt:i4>
      </vt:variant>
      <vt:variant>
        <vt:i4>0</vt:i4>
      </vt:variant>
      <vt:variant>
        <vt:i4>5</vt:i4>
      </vt:variant>
      <vt:variant>
        <vt:lpwstr>https://ec.europa.eu/eurostat/web/structural-business-statistics/structural-business-statistics/eurogroups-register</vt:lpwstr>
      </vt:variant>
      <vt:variant>
        <vt:lpwstr/>
      </vt:variant>
      <vt:variant>
        <vt:i4>1114237</vt:i4>
      </vt:variant>
      <vt:variant>
        <vt:i4>774</vt:i4>
      </vt:variant>
      <vt:variant>
        <vt:i4>0</vt:i4>
      </vt:variant>
      <vt:variant>
        <vt:i4>5</vt:i4>
      </vt:variant>
      <vt:variant>
        <vt:lpwstr>https://knowledge4policy.ec.europa.eu/composite-indicators_en</vt:lpwstr>
      </vt:variant>
      <vt:variant>
        <vt:lpwstr/>
      </vt:variant>
      <vt:variant>
        <vt:i4>5111911</vt:i4>
      </vt:variant>
      <vt:variant>
        <vt:i4>771</vt:i4>
      </vt:variant>
      <vt:variant>
        <vt:i4>0</vt:i4>
      </vt:variant>
      <vt:variant>
        <vt:i4>5</vt:i4>
      </vt:variant>
      <vt:variant>
        <vt:lpwstr>https://ec.europa.eu/taxation_customs/sites/taxation/files/2019-taxation-papers-76.pdf</vt:lpwstr>
      </vt:variant>
      <vt:variant>
        <vt:lpwstr/>
      </vt:variant>
      <vt:variant>
        <vt:i4>1638475</vt:i4>
      </vt:variant>
      <vt:variant>
        <vt:i4>768</vt:i4>
      </vt:variant>
      <vt:variant>
        <vt:i4>0</vt:i4>
      </vt:variant>
      <vt:variant>
        <vt:i4>5</vt:i4>
      </vt:variant>
      <vt:variant>
        <vt:lpwstr>https://ec.europa.eu/taxation_customs/sites/taxation/files/tax_gaps_report_mtic_fraud_gap_estimation_methodologies.pdf</vt:lpwstr>
      </vt:variant>
      <vt:variant>
        <vt:lpwstr/>
      </vt:variant>
      <vt:variant>
        <vt:i4>3604531</vt:i4>
      </vt:variant>
      <vt:variant>
        <vt:i4>765</vt:i4>
      </vt:variant>
      <vt:variant>
        <vt:i4>0</vt:i4>
      </vt:variant>
      <vt:variant>
        <vt:i4>5</vt:i4>
      </vt:variant>
      <vt:variant>
        <vt:lpwstr>https://ec.europa.eu/eurostat/documents/3859598/8714610/KS-05-17-202-EN-N.pdf/eaf638df-17dc-47a1-9ab7-fe68476100ec</vt:lpwstr>
      </vt:variant>
      <vt:variant>
        <vt:lpwstr/>
      </vt:variant>
      <vt:variant>
        <vt:i4>7471134</vt:i4>
      </vt:variant>
      <vt:variant>
        <vt:i4>762</vt:i4>
      </vt:variant>
      <vt:variant>
        <vt:i4>0</vt:i4>
      </vt:variant>
      <vt:variant>
        <vt:i4>5</vt:i4>
      </vt:variant>
      <vt:variant>
        <vt:lpwstr>https://ec.europa.eu/taxation_customs/sites/taxation/files/taxation_papers_71_atp_.pdf</vt:lpwstr>
      </vt:variant>
      <vt:variant>
        <vt:lpwstr/>
      </vt:variant>
      <vt:variant>
        <vt:i4>5636173</vt:i4>
      </vt:variant>
      <vt:variant>
        <vt:i4>759</vt:i4>
      </vt:variant>
      <vt:variant>
        <vt:i4>0</vt:i4>
      </vt:variant>
      <vt:variant>
        <vt:i4>5</vt:i4>
      </vt:variant>
      <vt:variant>
        <vt:lpwstr>https://ec.europa.eu/taxation_customs/sites/taxation/files/resources/documents/common/publications/studies/ey_study_destination_principle.pdf</vt:lpwstr>
      </vt:variant>
      <vt:variant>
        <vt:lpwstr/>
      </vt:variant>
      <vt:variant>
        <vt:i4>7143550</vt:i4>
      </vt:variant>
      <vt:variant>
        <vt:i4>756</vt:i4>
      </vt:variant>
      <vt:variant>
        <vt:i4>0</vt:i4>
      </vt:variant>
      <vt:variant>
        <vt:i4>5</vt:i4>
      </vt:variant>
      <vt:variant>
        <vt:lpwstr>http://ec.europa.eu/eurostat/documents/3888793/5845745/KS-RA-09-016-EN.PDF/520b191f-32d9-41c4-b19e-ac820d651756?version=1.0</vt:lpwstr>
      </vt:variant>
      <vt:variant>
        <vt:lpwstr/>
      </vt:variant>
      <vt:variant>
        <vt:i4>20</vt:i4>
      </vt:variant>
      <vt:variant>
        <vt:i4>753</vt:i4>
      </vt:variant>
      <vt:variant>
        <vt:i4>0</vt:i4>
      </vt:variant>
      <vt:variant>
        <vt:i4>5</vt:i4>
      </vt:variant>
      <vt:variant>
        <vt:lpwstr>https://ssrn.com/abstract=2336997</vt:lpwstr>
      </vt:variant>
      <vt:variant>
        <vt:lpwstr/>
      </vt:variant>
      <vt:variant>
        <vt:i4>262215</vt:i4>
      </vt:variant>
      <vt:variant>
        <vt:i4>750</vt:i4>
      </vt:variant>
      <vt:variant>
        <vt:i4>0</vt:i4>
      </vt:variant>
      <vt:variant>
        <vt:i4>5</vt:i4>
      </vt:variant>
      <vt:variant>
        <vt:lpwstr>https://www.imf.org/external/pubs/ft/wp/2015/wp15118.pdf</vt:lpwstr>
      </vt:variant>
      <vt:variant>
        <vt:lpwstr/>
      </vt:variant>
      <vt:variant>
        <vt:i4>7602281</vt:i4>
      </vt:variant>
      <vt:variant>
        <vt:i4>747</vt:i4>
      </vt:variant>
      <vt:variant>
        <vt:i4>0</vt:i4>
      </vt:variant>
      <vt:variant>
        <vt:i4>5</vt:i4>
      </vt:variant>
      <vt:variant>
        <vt:lpwstr>https://doi.org/10.1093/oso/9780198854418.001.0001</vt:lpwstr>
      </vt:variant>
      <vt:variant>
        <vt:lpwstr/>
      </vt:variant>
      <vt:variant>
        <vt:i4>2359344</vt:i4>
      </vt:variant>
      <vt:variant>
        <vt:i4>744</vt:i4>
      </vt:variant>
      <vt:variant>
        <vt:i4>0</vt:i4>
      </vt:variant>
      <vt:variant>
        <vt:i4>5</vt:i4>
      </vt:variant>
      <vt:variant>
        <vt:lpwstr>https://uif.bancaditalia.it/pubblicazioni/quaderni/2014/quaderni-analisi-studi-2014-1/Quaderno_Analisi_studi_1.pdf?language_id=1</vt:lpwstr>
      </vt:variant>
      <vt:variant>
        <vt:lpwstr/>
      </vt:variant>
      <vt:variant>
        <vt:i4>1835061</vt:i4>
      </vt:variant>
      <vt:variant>
        <vt:i4>741</vt:i4>
      </vt:variant>
      <vt:variant>
        <vt:i4>0</vt:i4>
      </vt:variant>
      <vt:variant>
        <vt:i4>5</vt:i4>
      </vt:variant>
      <vt:variant>
        <vt:lpwstr>https://curbingiffsdotorg.files.wordpress.com/2020/06/r4d_wp1_abnormalpricing_june2020.pdf</vt:lpwstr>
      </vt:variant>
      <vt:variant>
        <vt:lpwstr/>
      </vt:variant>
      <vt:variant>
        <vt:i4>7012386</vt:i4>
      </vt:variant>
      <vt:variant>
        <vt:i4>738</vt:i4>
      </vt:variant>
      <vt:variant>
        <vt:i4>0</vt:i4>
      </vt:variant>
      <vt:variant>
        <vt:i4>5</vt:i4>
      </vt:variant>
      <vt:variant>
        <vt:lpwstr>https://curbingiffsdotorg.files.wordpress.com/2019/12/r4d-iff-wp01-2018-dec2019.pdf</vt:lpwstr>
      </vt:variant>
      <vt:variant>
        <vt:lpwstr/>
      </vt:variant>
      <vt:variant>
        <vt:i4>917617</vt:i4>
      </vt:variant>
      <vt:variant>
        <vt:i4>735</vt:i4>
      </vt:variant>
      <vt:variant>
        <vt:i4>0</vt:i4>
      </vt:variant>
      <vt:variant>
        <vt:i4>5</vt:i4>
      </vt:variant>
      <vt:variant>
        <vt:lpwstr>https://www.nber.org/system/files/working_papers/w24915/w24915.pdf</vt:lpwstr>
      </vt:variant>
      <vt:variant>
        <vt:lpwstr/>
      </vt:variant>
      <vt:variant>
        <vt:i4>6684731</vt:i4>
      </vt:variant>
      <vt:variant>
        <vt:i4>732</vt:i4>
      </vt:variant>
      <vt:variant>
        <vt:i4>0</vt:i4>
      </vt:variant>
      <vt:variant>
        <vt:i4>5</vt:i4>
      </vt:variant>
      <vt:variant>
        <vt:lpwstr>https://curbingiffsdotorg.files.wordpress.com/2019/02/r4d_iff_valuechainriskmaps-1.pdf</vt:lpwstr>
      </vt:variant>
      <vt:variant>
        <vt:lpwstr/>
      </vt:variant>
      <vt:variant>
        <vt:i4>5636174</vt:i4>
      </vt:variant>
      <vt:variant>
        <vt:i4>729</vt:i4>
      </vt:variant>
      <vt:variant>
        <vt:i4>0</vt:i4>
      </vt:variant>
      <vt:variant>
        <vt:i4>5</vt:i4>
      </vt:variant>
      <vt:variant>
        <vt:lpwstr>https://www.finanze.gov.it/export/sites/finanze/.galleries/Documenti/Varie/Assessing-profit-shifting-using-Country-by-Country-Reports-Bratta-Santomartino-Acciari-2021-19-02.pdf</vt:lpwstr>
      </vt:variant>
      <vt:variant>
        <vt:lpwstr/>
      </vt:variant>
      <vt:variant>
        <vt:i4>7340159</vt:i4>
      </vt:variant>
      <vt:variant>
        <vt:i4>726</vt:i4>
      </vt:variant>
      <vt:variant>
        <vt:i4>0</vt:i4>
      </vt:variant>
      <vt:variant>
        <vt:i4>5</vt:i4>
      </vt:variant>
      <vt:variant>
        <vt:lpwstr>http://dx.doi.org/10.2139/ssrn.3682277</vt:lpwstr>
      </vt:variant>
      <vt:variant>
        <vt:lpwstr/>
      </vt:variant>
      <vt:variant>
        <vt:i4>1114182</vt:i4>
      </vt:variant>
      <vt:variant>
        <vt:i4>723</vt:i4>
      </vt:variant>
      <vt:variant>
        <vt:i4>0</vt:i4>
      </vt:variant>
      <vt:variant>
        <vt:i4>5</vt:i4>
      </vt:variant>
      <vt:variant>
        <vt:lpwstr>https://www.imf.org/en/Publications/WP/Issues/2018/07/23/International-Corporate-Tax-Avoidance-A-Review-of-the-Channels-Effect-Size-and-Blind-Spots-45999</vt:lpwstr>
      </vt:variant>
      <vt:variant>
        <vt:lpwstr/>
      </vt:variant>
      <vt:variant>
        <vt:i4>4784221</vt:i4>
      </vt:variant>
      <vt:variant>
        <vt:i4>720</vt:i4>
      </vt:variant>
      <vt:variant>
        <vt:i4>0</vt:i4>
      </vt:variant>
      <vt:variant>
        <vt:i4>5</vt:i4>
      </vt:variant>
      <vt:variant>
        <vt:lpwstr>https://www.ato.gov.au/about-ato/research-and-statistics/in-detail/tax-gap/australian-tax-gaps-overview/</vt:lpwstr>
      </vt:variant>
      <vt:variant>
        <vt:lpwstr/>
      </vt:variant>
      <vt:variant>
        <vt:i4>6946910</vt:i4>
      </vt:variant>
      <vt:variant>
        <vt:i4>717</vt:i4>
      </vt:variant>
      <vt:variant>
        <vt:i4>0</vt:i4>
      </vt:variant>
      <vt:variant>
        <vt:i4>5</vt:i4>
      </vt:variant>
      <vt:variant>
        <vt:lpwstr>https://unctad.org/system/files/official-document/ser-rp-2020d16_en.pdf</vt:lpwstr>
      </vt:variant>
      <vt:variant>
        <vt:lpwstr/>
      </vt:variant>
      <vt:variant>
        <vt:i4>4718668</vt:i4>
      </vt:variant>
      <vt:variant>
        <vt:i4>714</vt:i4>
      </vt:variant>
      <vt:variant>
        <vt:i4>0</vt:i4>
      </vt:variant>
      <vt:variant>
        <vt:i4>5</vt:i4>
      </vt:variant>
      <vt:variant>
        <vt:lpwstr>https://gabriel-zucman.eu/files/AJZ2017b.pdf</vt:lpwstr>
      </vt:variant>
      <vt:variant>
        <vt:lpwstr/>
      </vt:variant>
      <vt:variant>
        <vt:i4>6225980</vt:i4>
      </vt:variant>
      <vt:variant>
        <vt:i4>711</vt:i4>
      </vt:variant>
      <vt:variant>
        <vt:i4>0</vt:i4>
      </vt:variant>
      <vt:variant>
        <vt:i4>5</vt:i4>
      </vt:variant>
      <vt:variant>
        <vt:lpwstr>https://curbingiffsdotorg.files.wordpress.com/2020/06/r4d_ghana_trademispricing_june2020-1.pdf</vt:lpwstr>
      </vt:variant>
      <vt:variant>
        <vt:lpwstr/>
      </vt:variant>
      <vt:variant>
        <vt:i4>5767247</vt:i4>
      </vt:variant>
      <vt:variant>
        <vt:i4>690</vt:i4>
      </vt:variant>
      <vt:variant>
        <vt:i4>0</vt:i4>
      </vt:variant>
      <vt:variant>
        <vt:i4>5</vt:i4>
      </vt:variant>
      <vt:variant>
        <vt:lpwstr>https://www.wider.unu.edu/project/government-revenue-dataset</vt:lpwstr>
      </vt:variant>
      <vt:variant>
        <vt:lpwstr/>
      </vt:variant>
      <vt:variant>
        <vt:i4>5963860</vt:i4>
      </vt:variant>
      <vt:variant>
        <vt:i4>687</vt:i4>
      </vt:variant>
      <vt:variant>
        <vt:i4>0</vt:i4>
      </vt:variant>
      <vt:variant>
        <vt:i4>5</vt:i4>
      </vt:variant>
      <vt:variant>
        <vt:lpwstr>https://www.rug.nl/ggdc/productivity/pwt/</vt:lpwstr>
      </vt:variant>
      <vt:variant>
        <vt:lpwstr/>
      </vt:variant>
      <vt:variant>
        <vt:i4>1507352</vt:i4>
      </vt:variant>
      <vt:variant>
        <vt:i4>684</vt:i4>
      </vt:variant>
      <vt:variant>
        <vt:i4>0</vt:i4>
      </vt:variant>
      <vt:variant>
        <vt:i4>5</vt:i4>
      </vt:variant>
      <vt:variant>
        <vt:lpwstr>https://data.un.org/</vt:lpwstr>
      </vt:variant>
      <vt:variant>
        <vt:lpwstr/>
      </vt:variant>
      <vt:variant>
        <vt:i4>524304</vt:i4>
      </vt:variant>
      <vt:variant>
        <vt:i4>681</vt:i4>
      </vt:variant>
      <vt:variant>
        <vt:i4>0</vt:i4>
      </vt:variant>
      <vt:variant>
        <vt:i4>5</vt:i4>
      </vt:variant>
      <vt:variant>
        <vt:lpwstr>https://comtrade.un.org/</vt:lpwstr>
      </vt:variant>
      <vt:variant>
        <vt:lpwstr/>
      </vt:variant>
      <vt:variant>
        <vt:i4>8126587</vt:i4>
      </vt:variant>
      <vt:variant>
        <vt:i4>678</vt:i4>
      </vt:variant>
      <vt:variant>
        <vt:i4>0</vt:i4>
      </vt:variant>
      <vt:variant>
        <vt:i4>5</vt:i4>
      </vt:variant>
      <vt:variant>
        <vt:lpwstr>https://unstats.un.org/unsd/trade/data/tables.asp</vt:lpwstr>
      </vt:variant>
      <vt:variant>
        <vt:lpwstr>SUV</vt:lpwstr>
      </vt:variant>
      <vt:variant>
        <vt:i4>6357100</vt:i4>
      </vt:variant>
      <vt:variant>
        <vt:i4>675</vt:i4>
      </vt:variant>
      <vt:variant>
        <vt:i4>0</vt:i4>
      </vt:variant>
      <vt:variant>
        <vt:i4>5</vt:i4>
      </vt:variant>
      <vt:variant>
        <vt:lpwstr>https://unstats.un.org/unsd/business-stat/GGR/</vt:lpwstr>
      </vt:variant>
      <vt:variant>
        <vt:lpwstr/>
      </vt:variant>
      <vt:variant>
        <vt:i4>2752616</vt:i4>
      </vt:variant>
      <vt:variant>
        <vt:i4>672</vt:i4>
      </vt:variant>
      <vt:variant>
        <vt:i4>0</vt:i4>
      </vt:variant>
      <vt:variant>
        <vt:i4>5</vt:i4>
      </vt:variant>
      <vt:variant>
        <vt:lpwstr>https://unctadstat.unctad.org/wds/ReportFolders/reportFolders.aspx</vt:lpwstr>
      </vt:variant>
      <vt:variant>
        <vt:lpwstr/>
      </vt:variant>
      <vt:variant>
        <vt:i4>6881329</vt:i4>
      </vt:variant>
      <vt:variant>
        <vt:i4>669</vt:i4>
      </vt:variant>
      <vt:variant>
        <vt:i4>0</vt:i4>
      </vt:variant>
      <vt:variant>
        <vt:i4>5</vt:i4>
      </vt:variant>
      <vt:variant>
        <vt:lpwstr>https://unctadstat.unctad.org/wds/TableViewer/tableView.aspx?ReportId=96740</vt:lpwstr>
      </vt:variant>
      <vt:variant>
        <vt:lpwstr/>
      </vt:variant>
      <vt:variant>
        <vt:i4>6815787</vt:i4>
      </vt:variant>
      <vt:variant>
        <vt:i4>666</vt:i4>
      </vt:variant>
      <vt:variant>
        <vt:i4>0</vt:i4>
      </vt:variant>
      <vt:variant>
        <vt:i4>5</vt:i4>
      </vt:variant>
      <vt:variant>
        <vt:lpwstr>https://fsi.taxjustice.net/en/</vt:lpwstr>
      </vt:variant>
      <vt:variant>
        <vt:lpwstr/>
      </vt:variant>
      <vt:variant>
        <vt:i4>5832783</vt:i4>
      </vt:variant>
      <vt:variant>
        <vt:i4>663</vt:i4>
      </vt:variant>
      <vt:variant>
        <vt:i4>0</vt:i4>
      </vt:variant>
      <vt:variant>
        <vt:i4>5</vt:i4>
      </vt:variant>
      <vt:variant>
        <vt:lpwstr>https://www.oecd.org/tax/tax-policy/tax-database/</vt:lpwstr>
      </vt:variant>
      <vt:variant>
        <vt:lpwstr/>
      </vt:variant>
      <vt:variant>
        <vt:i4>4849698</vt:i4>
      </vt:variant>
      <vt:variant>
        <vt:i4>660</vt:i4>
      </vt:variant>
      <vt:variant>
        <vt:i4>0</vt:i4>
      </vt:variant>
      <vt:variant>
        <vt:i4>5</vt:i4>
      </vt:variant>
      <vt:variant>
        <vt:lpwstr>https://stats.oecd.org/Index.aspx?DataSetCode=RS_GBL</vt:lpwstr>
      </vt:variant>
      <vt:variant>
        <vt:lpwstr/>
      </vt:variant>
      <vt:variant>
        <vt:i4>2293868</vt:i4>
      </vt:variant>
      <vt:variant>
        <vt:i4>657</vt:i4>
      </vt:variant>
      <vt:variant>
        <vt:i4>0</vt:i4>
      </vt:variant>
      <vt:variant>
        <vt:i4>5</vt:i4>
      </vt:variant>
      <vt:variant>
        <vt:lpwstr>https://stats.oecd.org/Index.aspx?DataSetCode=CIF_FOB_ITIC</vt:lpwstr>
      </vt:variant>
      <vt:variant>
        <vt:lpwstr/>
      </vt:variant>
      <vt:variant>
        <vt:i4>2949221</vt:i4>
      </vt:variant>
      <vt:variant>
        <vt:i4>654</vt:i4>
      </vt:variant>
      <vt:variant>
        <vt:i4>0</vt:i4>
      </vt:variant>
      <vt:variant>
        <vt:i4>5</vt:i4>
      </vt:variant>
      <vt:variant>
        <vt:lpwstr>https://data.oecd.org/fdi/fdi-flows.htm</vt:lpwstr>
      </vt:variant>
      <vt:variant>
        <vt:lpwstr/>
      </vt:variant>
      <vt:variant>
        <vt:i4>5308479</vt:i4>
      </vt:variant>
      <vt:variant>
        <vt:i4>651</vt:i4>
      </vt:variant>
      <vt:variant>
        <vt:i4>0</vt:i4>
      </vt:variant>
      <vt:variant>
        <vt:i4>5</vt:i4>
      </vt:variant>
      <vt:variant>
        <vt:lpwstr>https://stats.oecd.org/Index.aspx?DataSetCode=CBCR_TABLEI</vt:lpwstr>
      </vt:variant>
      <vt:variant>
        <vt:lpwstr/>
      </vt:variant>
      <vt:variant>
        <vt:i4>196677</vt:i4>
      </vt:variant>
      <vt:variant>
        <vt:i4>648</vt:i4>
      </vt:variant>
      <vt:variant>
        <vt:i4>0</vt:i4>
      </vt:variant>
      <vt:variant>
        <vt:i4>5</vt:i4>
      </vt:variant>
      <vt:variant>
        <vt:lpwstr>https://www.oecd.org/sti/ind/amne.htm</vt:lpwstr>
      </vt:variant>
      <vt:variant>
        <vt:lpwstr/>
      </vt:variant>
      <vt:variant>
        <vt:i4>5898308</vt:i4>
      </vt:variant>
      <vt:variant>
        <vt:i4>645</vt:i4>
      </vt:variant>
      <vt:variant>
        <vt:i4>0</vt:i4>
      </vt:variant>
      <vt:variant>
        <vt:i4>5</vt:i4>
      </vt:variant>
      <vt:variant>
        <vt:lpwstr>https://www.oecd.org/sdd/its/statistical-insights-the-adima-database-on-multinational-enterprises.htm</vt:lpwstr>
      </vt:variant>
      <vt:variant>
        <vt:lpwstr/>
      </vt:variant>
      <vt:variant>
        <vt:i4>1245204</vt:i4>
      </vt:variant>
      <vt:variant>
        <vt:i4>642</vt:i4>
      </vt:variant>
      <vt:variant>
        <vt:i4>0</vt:i4>
      </vt:variant>
      <vt:variant>
        <vt:i4>5</vt:i4>
      </vt:variant>
      <vt:variant>
        <vt:lpwstr>https://data.imf.org/?sk=7A51304B-6426-40C0-83DD-CA473CA1FD52</vt:lpwstr>
      </vt:variant>
      <vt:variant>
        <vt:lpwstr/>
      </vt:variant>
      <vt:variant>
        <vt:i4>4194323</vt:i4>
      </vt:variant>
      <vt:variant>
        <vt:i4>639</vt:i4>
      </vt:variant>
      <vt:variant>
        <vt:i4>0</vt:i4>
      </vt:variant>
      <vt:variant>
        <vt:i4>5</vt:i4>
      </vt:variant>
      <vt:variant>
        <vt:lpwstr>https://data.imf.org/?sk=4C514D48-B6BA-49ED-8AB9-52B0C1A0179B</vt:lpwstr>
      </vt:variant>
      <vt:variant>
        <vt:lpwstr/>
      </vt:variant>
      <vt:variant>
        <vt:i4>4653129</vt:i4>
      </vt:variant>
      <vt:variant>
        <vt:i4>636</vt:i4>
      </vt:variant>
      <vt:variant>
        <vt:i4>0</vt:i4>
      </vt:variant>
      <vt:variant>
        <vt:i4>5</vt:i4>
      </vt:variant>
      <vt:variant>
        <vt:lpwstr>https://data.imf.org/?sk=9D6028D4-F14A-464C-A2F2-59B2CD424B85</vt:lpwstr>
      </vt:variant>
      <vt:variant>
        <vt:lpwstr/>
      </vt:variant>
      <vt:variant>
        <vt:i4>1966097</vt:i4>
      </vt:variant>
      <vt:variant>
        <vt:i4>633</vt:i4>
      </vt:variant>
      <vt:variant>
        <vt:i4>0</vt:i4>
      </vt:variant>
      <vt:variant>
        <vt:i4>5</vt:i4>
      </vt:variant>
      <vt:variant>
        <vt:lpwstr>https://data.imf.org/?sk=B981B4E3-4E58-467E-9B90-9DE0C3367363</vt:lpwstr>
      </vt:variant>
      <vt:variant>
        <vt:lpwstr/>
      </vt:variant>
      <vt:variant>
        <vt:i4>4587585</vt:i4>
      </vt:variant>
      <vt:variant>
        <vt:i4>630</vt:i4>
      </vt:variant>
      <vt:variant>
        <vt:i4>0</vt:i4>
      </vt:variant>
      <vt:variant>
        <vt:i4>5</vt:i4>
      </vt:variant>
      <vt:variant>
        <vt:lpwstr>https://data.imf.org/?sk=40313609-F037-48C1-84B1-E1F1CE54D6D5</vt:lpwstr>
      </vt:variant>
      <vt:variant>
        <vt:lpwstr/>
      </vt:variant>
      <vt:variant>
        <vt:i4>1245204</vt:i4>
      </vt:variant>
      <vt:variant>
        <vt:i4>627</vt:i4>
      </vt:variant>
      <vt:variant>
        <vt:i4>0</vt:i4>
      </vt:variant>
      <vt:variant>
        <vt:i4>5</vt:i4>
      </vt:variant>
      <vt:variant>
        <vt:lpwstr>https://data.imf.org/?sk=7A51304B-6426-40C0-83DD-CA473CA1FD52</vt:lpwstr>
      </vt:variant>
      <vt:variant>
        <vt:lpwstr/>
      </vt:variant>
      <vt:variant>
        <vt:i4>2424897</vt:i4>
      </vt:variant>
      <vt:variant>
        <vt:i4>624</vt:i4>
      </vt:variant>
      <vt:variant>
        <vt:i4>0</vt:i4>
      </vt:variant>
      <vt:variant>
        <vt:i4>5</vt:i4>
      </vt:variant>
      <vt:variant>
        <vt:lpwstr>https://ec.europa.eu/taxation_customs/tedb/splSearchForm.html</vt:lpwstr>
      </vt:variant>
      <vt:variant>
        <vt:lpwstr/>
      </vt:variant>
      <vt:variant>
        <vt:i4>6029402</vt:i4>
      </vt:variant>
      <vt:variant>
        <vt:i4>621</vt:i4>
      </vt:variant>
      <vt:variant>
        <vt:i4>0</vt:i4>
      </vt:variant>
      <vt:variant>
        <vt:i4>5</vt:i4>
      </vt:variant>
      <vt:variant>
        <vt:lpwstr>http://www.cepii.fr/CEPII/en/bdd_modele/bdd_modele.asp</vt:lpwstr>
      </vt:variant>
      <vt:variant>
        <vt:lpwstr/>
      </vt:variant>
      <vt:variant>
        <vt:i4>6422604</vt:i4>
      </vt:variant>
      <vt:variant>
        <vt:i4>618</vt:i4>
      </vt:variant>
      <vt:variant>
        <vt:i4>0</vt:i4>
      </vt:variant>
      <vt:variant>
        <vt:i4>5</vt:i4>
      </vt:variant>
      <vt:variant>
        <vt:lpwstr>http://www.cepii.fr/CEPII/en/bdd_modele/presentation.asp?id=17</vt:lpwstr>
      </vt:variant>
      <vt:variant>
        <vt:lpwstr/>
      </vt:variant>
      <vt:variant>
        <vt:i4>6422606</vt:i4>
      </vt:variant>
      <vt:variant>
        <vt:i4>615</vt:i4>
      </vt:variant>
      <vt:variant>
        <vt:i4>0</vt:i4>
      </vt:variant>
      <vt:variant>
        <vt:i4>5</vt:i4>
      </vt:variant>
      <vt:variant>
        <vt:lpwstr>http://www.cepii.fr/cepii/en/bdd_modele/presentation.asp?id=37</vt:lpwstr>
      </vt:variant>
      <vt:variant>
        <vt:lpwstr/>
      </vt:variant>
      <vt:variant>
        <vt:i4>1310735</vt:i4>
      </vt:variant>
      <vt:variant>
        <vt:i4>612</vt:i4>
      </vt:variant>
      <vt:variant>
        <vt:i4>0</vt:i4>
      </vt:variant>
      <vt:variant>
        <vt:i4>5</vt:i4>
      </vt:variant>
      <vt:variant>
        <vt:lpwstr>https://www.bis.org/statistics/index.htm?m=6%7C37</vt:lpwstr>
      </vt:variant>
      <vt:variant>
        <vt:lpwstr/>
      </vt:variant>
      <vt:variant>
        <vt:i4>1769524</vt:i4>
      </vt:variant>
      <vt:variant>
        <vt:i4>236</vt:i4>
      </vt:variant>
      <vt:variant>
        <vt:i4>0</vt:i4>
      </vt:variant>
      <vt:variant>
        <vt:i4>5</vt:i4>
      </vt:variant>
      <vt:variant>
        <vt:lpwstr/>
      </vt:variant>
      <vt:variant>
        <vt:lpwstr>_Toc70491366</vt:lpwstr>
      </vt:variant>
      <vt:variant>
        <vt:i4>1572916</vt:i4>
      </vt:variant>
      <vt:variant>
        <vt:i4>230</vt:i4>
      </vt:variant>
      <vt:variant>
        <vt:i4>0</vt:i4>
      </vt:variant>
      <vt:variant>
        <vt:i4>5</vt:i4>
      </vt:variant>
      <vt:variant>
        <vt:lpwstr/>
      </vt:variant>
      <vt:variant>
        <vt:lpwstr>_Toc70491365</vt:lpwstr>
      </vt:variant>
      <vt:variant>
        <vt:i4>1638452</vt:i4>
      </vt:variant>
      <vt:variant>
        <vt:i4>224</vt:i4>
      </vt:variant>
      <vt:variant>
        <vt:i4>0</vt:i4>
      </vt:variant>
      <vt:variant>
        <vt:i4>5</vt:i4>
      </vt:variant>
      <vt:variant>
        <vt:lpwstr/>
      </vt:variant>
      <vt:variant>
        <vt:lpwstr>_Toc70491364</vt:lpwstr>
      </vt:variant>
      <vt:variant>
        <vt:i4>1966132</vt:i4>
      </vt:variant>
      <vt:variant>
        <vt:i4>218</vt:i4>
      </vt:variant>
      <vt:variant>
        <vt:i4>0</vt:i4>
      </vt:variant>
      <vt:variant>
        <vt:i4>5</vt:i4>
      </vt:variant>
      <vt:variant>
        <vt:lpwstr/>
      </vt:variant>
      <vt:variant>
        <vt:lpwstr>_Toc70491363</vt:lpwstr>
      </vt:variant>
      <vt:variant>
        <vt:i4>2031668</vt:i4>
      </vt:variant>
      <vt:variant>
        <vt:i4>212</vt:i4>
      </vt:variant>
      <vt:variant>
        <vt:i4>0</vt:i4>
      </vt:variant>
      <vt:variant>
        <vt:i4>5</vt:i4>
      </vt:variant>
      <vt:variant>
        <vt:lpwstr/>
      </vt:variant>
      <vt:variant>
        <vt:lpwstr>_Toc70491362</vt:lpwstr>
      </vt:variant>
      <vt:variant>
        <vt:i4>1835060</vt:i4>
      </vt:variant>
      <vt:variant>
        <vt:i4>206</vt:i4>
      </vt:variant>
      <vt:variant>
        <vt:i4>0</vt:i4>
      </vt:variant>
      <vt:variant>
        <vt:i4>5</vt:i4>
      </vt:variant>
      <vt:variant>
        <vt:lpwstr/>
      </vt:variant>
      <vt:variant>
        <vt:lpwstr>_Toc70491361</vt:lpwstr>
      </vt:variant>
      <vt:variant>
        <vt:i4>1900596</vt:i4>
      </vt:variant>
      <vt:variant>
        <vt:i4>200</vt:i4>
      </vt:variant>
      <vt:variant>
        <vt:i4>0</vt:i4>
      </vt:variant>
      <vt:variant>
        <vt:i4>5</vt:i4>
      </vt:variant>
      <vt:variant>
        <vt:lpwstr/>
      </vt:variant>
      <vt:variant>
        <vt:lpwstr>_Toc70491360</vt:lpwstr>
      </vt:variant>
      <vt:variant>
        <vt:i4>1310775</vt:i4>
      </vt:variant>
      <vt:variant>
        <vt:i4>194</vt:i4>
      </vt:variant>
      <vt:variant>
        <vt:i4>0</vt:i4>
      </vt:variant>
      <vt:variant>
        <vt:i4>5</vt:i4>
      </vt:variant>
      <vt:variant>
        <vt:lpwstr/>
      </vt:variant>
      <vt:variant>
        <vt:lpwstr>_Toc70491359</vt:lpwstr>
      </vt:variant>
      <vt:variant>
        <vt:i4>1376311</vt:i4>
      </vt:variant>
      <vt:variant>
        <vt:i4>188</vt:i4>
      </vt:variant>
      <vt:variant>
        <vt:i4>0</vt:i4>
      </vt:variant>
      <vt:variant>
        <vt:i4>5</vt:i4>
      </vt:variant>
      <vt:variant>
        <vt:lpwstr/>
      </vt:variant>
      <vt:variant>
        <vt:lpwstr>_Toc70491358</vt:lpwstr>
      </vt:variant>
      <vt:variant>
        <vt:i4>1703991</vt:i4>
      </vt:variant>
      <vt:variant>
        <vt:i4>182</vt:i4>
      </vt:variant>
      <vt:variant>
        <vt:i4>0</vt:i4>
      </vt:variant>
      <vt:variant>
        <vt:i4>5</vt:i4>
      </vt:variant>
      <vt:variant>
        <vt:lpwstr/>
      </vt:variant>
      <vt:variant>
        <vt:lpwstr>_Toc70491357</vt:lpwstr>
      </vt:variant>
      <vt:variant>
        <vt:i4>1769527</vt:i4>
      </vt:variant>
      <vt:variant>
        <vt:i4>176</vt:i4>
      </vt:variant>
      <vt:variant>
        <vt:i4>0</vt:i4>
      </vt:variant>
      <vt:variant>
        <vt:i4>5</vt:i4>
      </vt:variant>
      <vt:variant>
        <vt:lpwstr/>
      </vt:variant>
      <vt:variant>
        <vt:lpwstr>_Toc70491356</vt:lpwstr>
      </vt:variant>
      <vt:variant>
        <vt:i4>1572919</vt:i4>
      </vt:variant>
      <vt:variant>
        <vt:i4>170</vt:i4>
      </vt:variant>
      <vt:variant>
        <vt:i4>0</vt:i4>
      </vt:variant>
      <vt:variant>
        <vt:i4>5</vt:i4>
      </vt:variant>
      <vt:variant>
        <vt:lpwstr/>
      </vt:variant>
      <vt:variant>
        <vt:lpwstr>_Toc70491355</vt:lpwstr>
      </vt:variant>
      <vt:variant>
        <vt:i4>1638455</vt:i4>
      </vt:variant>
      <vt:variant>
        <vt:i4>164</vt:i4>
      </vt:variant>
      <vt:variant>
        <vt:i4>0</vt:i4>
      </vt:variant>
      <vt:variant>
        <vt:i4>5</vt:i4>
      </vt:variant>
      <vt:variant>
        <vt:lpwstr/>
      </vt:variant>
      <vt:variant>
        <vt:lpwstr>_Toc70491354</vt:lpwstr>
      </vt:variant>
      <vt:variant>
        <vt:i4>1966135</vt:i4>
      </vt:variant>
      <vt:variant>
        <vt:i4>158</vt:i4>
      </vt:variant>
      <vt:variant>
        <vt:i4>0</vt:i4>
      </vt:variant>
      <vt:variant>
        <vt:i4>5</vt:i4>
      </vt:variant>
      <vt:variant>
        <vt:lpwstr/>
      </vt:variant>
      <vt:variant>
        <vt:lpwstr>_Toc70491353</vt:lpwstr>
      </vt:variant>
      <vt:variant>
        <vt:i4>2031671</vt:i4>
      </vt:variant>
      <vt:variant>
        <vt:i4>152</vt:i4>
      </vt:variant>
      <vt:variant>
        <vt:i4>0</vt:i4>
      </vt:variant>
      <vt:variant>
        <vt:i4>5</vt:i4>
      </vt:variant>
      <vt:variant>
        <vt:lpwstr/>
      </vt:variant>
      <vt:variant>
        <vt:lpwstr>_Toc70491352</vt:lpwstr>
      </vt:variant>
      <vt:variant>
        <vt:i4>1835063</vt:i4>
      </vt:variant>
      <vt:variant>
        <vt:i4>146</vt:i4>
      </vt:variant>
      <vt:variant>
        <vt:i4>0</vt:i4>
      </vt:variant>
      <vt:variant>
        <vt:i4>5</vt:i4>
      </vt:variant>
      <vt:variant>
        <vt:lpwstr/>
      </vt:variant>
      <vt:variant>
        <vt:lpwstr>_Toc70491351</vt:lpwstr>
      </vt:variant>
      <vt:variant>
        <vt:i4>1900599</vt:i4>
      </vt:variant>
      <vt:variant>
        <vt:i4>140</vt:i4>
      </vt:variant>
      <vt:variant>
        <vt:i4>0</vt:i4>
      </vt:variant>
      <vt:variant>
        <vt:i4>5</vt:i4>
      </vt:variant>
      <vt:variant>
        <vt:lpwstr/>
      </vt:variant>
      <vt:variant>
        <vt:lpwstr>_Toc70491350</vt:lpwstr>
      </vt:variant>
      <vt:variant>
        <vt:i4>1310774</vt:i4>
      </vt:variant>
      <vt:variant>
        <vt:i4>134</vt:i4>
      </vt:variant>
      <vt:variant>
        <vt:i4>0</vt:i4>
      </vt:variant>
      <vt:variant>
        <vt:i4>5</vt:i4>
      </vt:variant>
      <vt:variant>
        <vt:lpwstr/>
      </vt:variant>
      <vt:variant>
        <vt:lpwstr>_Toc70491349</vt:lpwstr>
      </vt:variant>
      <vt:variant>
        <vt:i4>1376310</vt:i4>
      </vt:variant>
      <vt:variant>
        <vt:i4>128</vt:i4>
      </vt:variant>
      <vt:variant>
        <vt:i4>0</vt:i4>
      </vt:variant>
      <vt:variant>
        <vt:i4>5</vt:i4>
      </vt:variant>
      <vt:variant>
        <vt:lpwstr/>
      </vt:variant>
      <vt:variant>
        <vt:lpwstr>_Toc70491348</vt:lpwstr>
      </vt:variant>
      <vt:variant>
        <vt:i4>1703990</vt:i4>
      </vt:variant>
      <vt:variant>
        <vt:i4>122</vt:i4>
      </vt:variant>
      <vt:variant>
        <vt:i4>0</vt:i4>
      </vt:variant>
      <vt:variant>
        <vt:i4>5</vt:i4>
      </vt:variant>
      <vt:variant>
        <vt:lpwstr/>
      </vt:variant>
      <vt:variant>
        <vt:lpwstr>_Toc70491347</vt:lpwstr>
      </vt:variant>
      <vt:variant>
        <vt:i4>1769526</vt:i4>
      </vt:variant>
      <vt:variant>
        <vt:i4>116</vt:i4>
      </vt:variant>
      <vt:variant>
        <vt:i4>0</vt:i4>
      </vt:variant>
      <vt:variant>
        <vt:i4>5</vt:i4>
      </vt:variant>
      <vt:variant>
        <vt:lpwstr/>
      </vt:variant>
      <vt:variant>
        <vt:lpwstr>_Toc70491346</vt:lpwstr>
      </vt:variant>
      <vt:variant>
        <vt:i4>1572918</vt:i4>
      </vt:variant>
      <vt:variant>
        <vt:i4>110</vt:i4>
      </vt:variant>
      <vt:variant>
        <vt:i4>0</vt:i4>
      </vt:variant>
      <vt:variant>
        <vt:i4>5</vt:i4>
      </vt:variant>
      <vt:variant>
        <vt:lpwstr/>
      </vt:variant>
      <vt:variant>
        <vt:lpwstr>_Toc70491345</vt:lpwstr>
      </vt:variant>
      <vt:variant>
        <vt:i4>1638454</vt:i4>
      </vt:variant>
      <vt:variant>
        <vt:i4>104</vt:i4>
      </vt:variant>
      <vt:variant>
        <vt:i4>0</vt:i4>
      </vt:variant>
      <vt:variant>
        <vt:i4>5</vt:i4>
      </vt:variant>
      <vt:variant>
        <vt:lpwstr/>
      </vt:variant>
      <vt:variant>
        <vt:lpwstr>_Toc70491344</vt:lpwstr>
      </vt:variant>
      <vt:variant>
        <vt:i4>1966134</vt:i4>
      </vt:variant>
      <vt:variant>
        <vt:i4>98</vt:i4>
      </vt:variant>
      <vt:variant>
        <vt:i4>0</vt:i4>
      </vt:variant>
      <vt:variant>
        <vt:i4>5</vt:i4>
      </vt:variant>
      <vt:variant>
        <vt:lpwstr/>
      </vt:variant>
      <vt:variant>
        <vt:lpwstr>_Toc70491343</vt:lpwstr>
      </vt:variant>
      <vt:variant>
        <vt:i4>2031670</vt:i4>
      </vt:variant>
      <vt:variant>
        <vt:i4>92</vt:i4>
      </vt:variant>
      <vt:variant>
        <vt:i4>0</vt:i4>
      </vt:variant>
      <vt:variant>
        <vt:i4>5</vt:i4>
      </vt:variant>
      <vt:variant>
        <vt:lpwstr/>
      </vt:variant>
      <vt:variant>
        <vt:lpwstr>_Toc70491342</vt:lpwstr>
      </vt:variant>
      <vt:variant>
        <vt:i4>1835062</vt:i4>
      </vt:variant>
      <vt:variant>
        <vt:i4>86</vt:i4>
      </vt:variant>
      <vt:variant>
        <vt:i4>0</vt:i4>
      </vt:variant>
      <vt:variant>
        <vt:i4>5</vt:i4>
      </vt:variant>
      <vt:variant>
        <vt:lpwstr/>
      </vt:variant>
      <vt:variant>
        <vt:lpwstr>_Toc70491341</vt:lpwstr>
      </vt:variant>
      <vt:variant>
        <vt:i4>1900598</vt:i4>
      </vt:variant>
      <vt:variant>
        <vt:i4>80</vt:i4>
      </vt:variant>
      <vt:variant>
        <vt:i4>0</vt:i4>
      </vt:variant>
      <vt:variant>
        <vt:i4>5</vt:i4>
      </vt:variant>
      <vt:variant>
        <vt:lpwstr/>
      </vt:variant>
      <vt:variant>
        <vt:lpwstr>_Toc70491340</vt:lpwstr>
      </vt:variant>
      <vt:variant>
        <vt:i4>1310769</vt:i4>
      </vt:variant>
      <vt:variant>
        <vt:i4>74</vt:i4>
      </vt:variant>
      <vt:variant>
        <vt:i4>0</vt:i4>
      </vt:variant>
      <vt:variant>
        <vt:i4>5</vt:i4>
      </vt:variant>
      <vt:variant>
        <vt:lpwstr/>
      </vt:variant>
      <vt:variant>
        <vt:lpwstr>_Toc70491339</vt:lpwstr>
      </vt:variant>
      <vt:variant>
        <vt:i4>1376305</vt:i4>
      </vt:variant>
      <vt:variant>
        <vt:i4>68</vt:i4>
      </vt:variant>
      <vt:variant>
        <vt:i4>0</vt:i4>
      </vt:variant>
      <vt:variant>
        <vt:i4>5</vt:i4>
      </vt:variant>
      <vt:variant>
        <vt:lpwstr/>
      </vt:variant>
      <vt:variant>
        <vt:lpwstr>_Toc70491338</vt:lpwstr>
      </vt:variant>
      <vt:variant>
        <vt:i4>1703985</vt:i4>
      </vt:variant>
      <vt:variant>
        <vt:i4>62</vt:i4>
      </vt:variant>
      <vt:variant>
        <vt:i4>0</vt:i4>
      </vt:variant>
      <vt:variant>
        <vt:i4>5</vt:i4>
      </vt:variant>
      <vt:variant>
        <vt:lpwstr/>
      </vt:variant>
      <vt:variant>
        <vt:lpwstr>_Toc70491337</vt:lpwstr>
      </vt:variant>
      <vt:variant>
        <vt:i4>1769521</vt:i4>
      </vt:variant>
      <vt:variant>
        <vt:i4>56</vt:i4>
      </vt:variant>
      <vt:variant>
        <vt:i4>0</vt:i4>
      </vt:variant>
      <vt:variant>
        <vt:i4>5</vt:i4>
      </vt:variant>
      <vt:variant>
        <vt:lpwstr/>
      </vt:variant>
      <vt:variant>
        <vt:lpwstr>_Toc70491336</vt:lpwstr>
      </vt:variant>
      <vt:variant>
        <vt:i4>1572913</vt:i4>
      </vt:variant>
      <vt:variant>
        <vt:i4>50</vt:i4>
      </vt:variant>
      <vt:variant>
        <vt:i4>0</vt:i4>
      </vt:variant>
      <vt:variant>
        <vt:i4>5</vt:i4>
      </vt:variant>
      <vt:variant>
        <vt:lpwstr/>
      </vt:variant>
      <vt:variant>
        <vt:lpwstr>_Toc70491335</vt:lpwstr>
      </vt:variant>
      <vt:variant>
        <vt:i4>1638449</vt:i4>
      </vt:variant>
      <vt:variant>
        <vt:i4>44</vt:i4>
      </vt:variant>
      <vt:variant>
        <vt:i4>0</vt:i4>
      </vt:variant>
      <vt:variant>
        <vt:i4>5</vt:i4>
      </vt:variant>
      <vt:variant>
        <vt:lpwstr/>
      </vt:variant>
      <vt:variant>
        <vt:lpwstr>_Toc70491334</vt:lpwstr>
      </vt:variant>
      <vt:variant>
        <vt:i4>1966129</vt:i4>
      </vt:variant>
      <vt:variant>
        <vt:i4>38</vt:i4>
      </vt:variant>
      <vt:variant>
        <vt:i4>0</vt:i4>
      </vt:variant>
      <vt:variant>
        <vt:i4>5</vt:i4>
      </vt:variant>
      <vt:variant>
        <vt:lpwstr/>
      </vt:variant>
      <vt:variant>
        <vt:lpwstr>_Toc70491333</vt:lpwstr>
      </vt:variant>
      <vt:variant>
        <vt:i4>2031665</vt:i4>
      </vt:variant>
      <vt:variant>
        <vt:i4>32</vt:i4>
      </vt:variant>
      <vt:variant>
        <vt:i4>0</vt:i4>
      </vt:variant>
      <vt:variant>
        <vt:i4>5</vt:i4>
      </vt:variant>
      <vt:variant>
        <vt:lpwstr/>
      </vt:variant>
      <vt:variant>
        <vt:lpwstr>_Toc70491332</vt:lpwstr>
      </vt:variant>
      <vt:variant>
        <vt:i4>1835057</vt:i4>
      </vt:variant>
      <vt:variant>
        <vt:i4>26</vt:i4>
      </vt:variant>
      <vt:variant>
        <vt:i4>0</vt:i4>
      </vt:variant>
      <vt:variant>
        <vt:i4>5</vt:i4>
      </vt:variant>
      <vt:variant>
        <vt:lpwstr/>
      </vt:variant>
      <vt:variant>
        <vt:lpwstr>_Toc70491331</vt:lpwstr>
      </vt:variant>
      <vt:variant>
        <vt:i4>1900593</vt:i4>
      </vt:variant>
      <vt:variant>
        <vt:i4>20</vt:i4>
      </vt:variant>
      <vt:variant>
        <vt:i4>0</vt:i4>
      </vt:variant>
      <vt:variant>
        <vt:i4>5</vt:i4>
      </vt:variant>
      <vt:variant>
        <vt:lpwstr/>
      </vt:variant>
      <vt:variant>
        <vt:lpwstr>_Toc70491330</vt:lpwstr>
      </vt:variant>
      <vt:variant>
        <vt:i4>1310768</vt:i4>
      </vt:variant>
      <vt:variant>
        <vt:i4>14</vt:i4>
      </vt:variant>
      <vt:variant>
        <vt:i4>0</vt:i4>
      </vt:variant>
      <vt:variant>
        <vt:i4>5</vt:i4>
      </vt:variant>
      <vt:variant>
        <vt:lpwstr/>
      </vt:variant>
      <vt:variant>
        <vt:lpwstr>_Toc70491329</vt:lpwstr>
      </vt:variant>
      <vt:variant>
        <vt:i4>1376304</vt:i4>
      </vt:variant>
      <vt:variant>
        <vt:i4>8</vt:i4>
      </vt:variant>
      <vt:variant>
        <vt:i4>0</vt:i4>
      </vt:variant>
      <vt:variant>
        <vt:i4>5</vt:i4>
      </vt:variant>
      <vt:variant>
        <vt:lpwstr/>
      </vt:variant>
      <vt:variant>
        <vt:lpwstr>_Toc70491328</vt:lpwstr>
      </vt:variant>
      <vt:variant>
        <vt:i4>1703984</vt:i4>
      </vt:variant>
      <vt:variant>
        <vt:i4>2</vt:i4>
      </vt:variant>
      <vt:variant>
        <vt:i4>0</vt:i4>
      </vt:variant>
      <vt:variant>
        <vt:i4>5</vt:i4>
      </vt:variant>
      <vt:variant>
        <vt:lpwstr/>
      </vt:variant>
      <vt:variant>
        <vt:lpwstr>_Toc70491327</vt:lpwstr>
      </vt:variant>
      <vt:variant>
        <vt:i4>1835036</vt:i4>
      </vt:variant>
      <vt:variant>
        <vt:i4>3</vt:i4>
      </vt:variant>
      <vt:variant>
        <vt:i4>0</vt:i4>
      </vt:variant>
      <vt:variant>
        <vt:i4>5</vt:i4>
      </vt:variant>
      <vt:variant>
        <vt:lpwstr>https://comtrade.un.org/survey/Reports/byQuestion</vt:lpwstr>
      </vt:variant>
      <vt:variant>
        <vt:lpwstr/>
      </vt:variant>
      <vt:variant>
        <vt:i4>1835036</vt:i4>
      </vt:variant>
      <vt:variant>
        <vt:i4>0</vt:i4>
      </vt:variant>
      <vt:variant>
        <vt:i4>0</vt:i4>
      </vt:variant>
      <vt:variant>
        <vt:i4>5</vt:i4>
      </vt:variant>
      <vt:variant>
        <vt:lpwstr>https://comtrade.un.org/survey/Reports/byQuestion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2021-06-22T17:18:00Z</dcterms:created>
  <dcterms:modified xsi:type="dcterms:W3CDTF">2021-07-02T11:01:00Z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