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1192" w14:textId="77777777" w:rsidR="00A16955" w:rsidRPr="00D43C26" w:rsidRDefault="00A16955" w:rsidP="00FC7664">
      <w:pPr>
        <w:pStyle w:val="Heading3"/>
        <w:numPr>
          <w:ilvl w:val="0"/>
          <w:numId w:val="43"/>
        </w:numPr>
      </w:pPr>
      <w:bookmarkStart w:id="0" w:name="_Toc75288828"/>
      <w:r w:rsidRPr="00D43C26">
        <w:t>Method fact sheets</w:t>
      </w:r>
      <w:bookmarkEnd w:id="0"/>
    </w:p>
    <w:p w14:paraId="226AFDAF" w14:textId="77777777" w:rsidR="00A16955" w:rsidRPr="00D43C26" w:rsidRDefault="00A16955" w:rsidP="00A16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A16955" w:rsidRPr="00D43C26" w14:paraId="44C9EA3B" w14:textId="77777777" w:rsidTr="3267F38A">
        <w:tc>
          <w:tcPr>
            <w:tcW w:w="2265" w:type="dxa"/>
            <w:tcBorders>
              <w:right w:val="nil"/>
            </w:tcBorders>
            <w:shd w:val="clear" w:color="auto" w:fill="DEEAF6" w:themeFill="accent5" w:themeFillTint="33"/>
          </w:tcPr>
          <w:p w14:paraId="7D92EEC6" w14:textId="77777777" w:rsidR="00A16955" w:rsidRPr="00D43C26" w:rsidRDefault="00A16955" w:rsidP="00F4159F">
            <w:pPr>
              <w:spacing w:after="0"/>
            </w:pPr>
            <w:r w:rsidRPr="00D43C26">
              <w:rPr>
                <w:b/>
                <w:bCs/>
              </w:rPr>
              <w:t>Method fact sheet</w:t>
            </w:r>
          </w:p>
        </w:tc>
        <w:tc>
          <w:tcPr>
            <w:tcW w:w="6797" w:type="dxa"/>
            <w:gridSpan w:val="5"/>
            <w:tcBorders>
              <w:left w:val="nil"/>
            </w:tcBorders>
            <w:shd w:val="clear" w:color="auto" w:fill="DEEAF6" w:themeFill="accent5" w:themeFillTint="33"/>
          </w:tcPr>
          <w:p w14:paraId="08DF17B8" w14:textId="6C13465D" w:rsidR="00A16955" w:rsidRPr="00D43C26" w:rsidRDefault="00A16955" w:rsidP="00F4159F">
            <w:pPr>
              <w:spacing w:after="0"/>
              <w:jc w:val="right"/>
              <w:rPr>
                <w:b/>
                <w:bCs/>
              </w:rPr>
            </w:pPr>
            <w:r w:rsidRPr="00D43C26">
              <w:rPr>
                <w:b/>
                <w:bCs/>
              </w:rPr>
              <w:t xml:space="preserve">METHODOLOGICAL GUIDELINES </w:t>
            </w:r>
            <w:r w:rsidR="00A1784C">
              <w:rPr>
                <w:b/>
                <w:bCs/>
              </w:rPr>
              <w:t>TO MEASURE</w:t>
            </w:r>
            <w:r w:rsidR="00A1784C" w:rsidRPr="00D43C26">
              <w:rPr>
                <w:b/>
                <w:bCs/>
              </w:rPr>
              <w:t xml:space="preserve"> </w:t>
            </w:r>
          </w:p>
          <w:p w14:paraId="719DB5FF" w14:textId="77777777" w:rsidR="00A16955" w:rsidRPr="00D43C26" w:rsidRDefault="00A16955" w:rsidP="00F4159F">
            <w:pPr>
              <w:spacing w:after="0"/>
              <w:jc w:val="right"/>
              <w:rPr>
                <w:b/>
                <w:bCs/>
              </w:rPr>
            </w:pPr>
            <w:r w:rsidRPr="00D43C26">
              <w:rPr>
                <w:b/>
                <w:bCs/>
              </w:rPr>
              <w:t xml:space="preserve">TAX AND COMMERCIAL ILLICIT FINANCIAL FLOWS </w:t>
            </w:r>
          </w:p>
          <w:p w14:paraId="4A5BF4C4" w14:textId="77777777" w:rsidR="00A16955" w:rsidRPr="00D43C26" w:rsidRDefault="00A16955" w:rsidP="00F4159F">
            <w:pPr>
              <w:spacing w:after="0"/>
              <w:jc w:val="right"/>
              <w:rPr>
                <w:b/>
                <w:bCs/>
                <w:sz w:val="20"/>
                <w:szCs w:val="20"/>
              </w:rPr>
            </w:pPr>
            <w:r w:rsidRPr="00D43C26">
              <w:rPr>
                <w:b/>
                <w:bCs/>
                <w:sz w:val="20"/>
                <w:szCs w:val="20"/>
              </w:rPr>
              <w:t>Methods for pilot testing</w:t>
            </w:r>
          </w:p>
        </w:tc>
      </w:tr>
      <w:tr w:rsidR="00A16955" w:rsidRPr="00D43C26" w14:paraId="5B574880" w14:textId="77777777" w:rsidTr="3267F38A">
        <w:tc>
          <w:tcPr>
            <w:tcW w:w="2405" w:type="dxa"/>
            <w:gridSpan w:val="2"/>
            <w:shd w:val="clear" w:color="auto" w:fill="DEEAF6" w:themeFill="accent5" w:themeFillTint="33"/>
          </w:tcPr>
          <w:p w14:paraId="112BA9E9" w14:textId="77777777" w:rsidR="00A16955" w:rsidRPr="00D43C26" w:rsidRDefault="00A16955" w:rsidP="00F4159F">
            <w:pPr>
              <w:spacing w:after="0"/>
              <w:rPr>
                <w:b/>
                <w:bCs/>
              </w:rPr>
            </w:pPr>
            <w:r w:rsidRPr="00D43C26">
              <w:rPr>
                <w:b/>
                <w:bCs/>
              </w:rPr>
              <w:t>Method title</w:t>
            </w:r>
          </w:p>
        </w:tc>
        <w:tc>
          <w:tcPr>
            <w:tcW w:w="6657" w:type="dxa"/>
            <w:gridSpan w:val="4"/>
          </w:tcPr>
          <w:p w14:paraId="53220644" w14:textId="77777777" w:rsidR="00A16955" w:rsidRPr="00D43C26" w:rsidRDefault="00A16955" w:rsidP="00F4159F">
            <w:pPr>
              <w:spacing w:after="0"/>
            </w:pPr>
            <w:r w:rsidRPr="00D43C26">
              <w:t>#1 Partner Country Method (PCM) +</w:t>
            </w:r>
          </w:p>
        </w:tc>
      </w:tr>
      <w:tr w:rsidR="00A16955" w:rsidRPr="00D43C26" w14:paraId="201DA982" w14:textId="77777777" w:rsidTr="3267F38A">
        <w:tc>
          <w:tcPr>
            <w:tcW w:w="2405" w:type="dxa"/>
            <w:gridSpan w:val="2"/>
            <w:shd w:val="clear" w:color="auto" w:fill="DEEAF6" w:themeFill="accent5" w:themeFillTint="33"/>
          </w:tcPr>
          <w:p w14:paraId="3E85429F" w14:textId="77777777" w:rsidR="00A16955" w:rsidRPr="00D43C26" w:rsidRDefault="00A16955" w:rsidP="00F4159F">
            <w:pPr>
              <w:spacing w:after="0"/>
              <w:rPr>
                <w:b/>
                <w:bCs/>
              </w:rPr>
            </w:pPr>
            <w:r w:rsidRPr="00D43C26">
              <w:rPr>
                <w:b/>
                <w:bCs/>
              </w:rPr>
              <w:t>Alternative title(s)</w:t>
            </w:r>
          </w:p>
        </w:tc>
        <w:tc>
          <w:tcPr>
            <w:tcW w:w="6657" w:type="dxa"/>
            <w:gridSpan w:val="4"/>
          </w:tcPr>
          <w:p w14:paraId="1959ABB9" w14:textId="77777777" w:rsidR="00A16955" w:rsidRPr="00D43C26" w:rsidRDefault="00A16955" w:rsidP="00F4159F">
            <w:pPr>
              <w:spacing w:after="0"/>
            </w:pPr>
            <w:r w:rsidRPr="00D43C26">
              <w:t>Trade asymmetries, mirror-data analysis</w:t>
            </w:r>
          </w:p>
        </w:tc>
      </w:tr>
      <w:tr w:rsidR="00A16955" w:rsidRPr="00D43C26" w14:paraId="01C35EB9" w14:textId="77777777" w:rsidTr="3267F38A">
        <w:tc>
          <w:tcPr>
            <w:tcW w:w="2405" w:type="dxa"/>
            <w:gridSpan w:val="2"/>
            <w:shd w:val="clear" w:color="auto" w:fill="DEEAF6" w:themeFill="accent5" w:themeFillTint="33"/>
          </w:tcPr>
          <w:p w14:paraId="2CFC96C7" w14:textId="77777777" w:rsidR="00A16955" w:rsidRPr="00D43C26" w:rsidRDefault="00A16955" w:rsidP="00F4159F">
            <w:pPr>
              <w:spacing w:after="0"/>
              <w:rPr>
                <w:b/>
                <w:bCs/>
              </w:rPr>
            </w:pPr>
            <w:r w:rsidRPr="00D43C26">
              <w:rPr>
                <w:b/>
                <w:bCs/>
              </w:rPr>
              <w:t>Method group</w:t>
            </w:r>
          </w:p>
        </w:tc>
        <w:tc>
          <w:tcPr>
            <w:tcW w:w="6657" w:type="dxa"/>
            <w:gridSpan w:val="4"/>
          </w:tcPr>
          <w:p w14:paraId="71310CC2" w14:textId="53E1CF2C" w:rsidR="00A16955" w:rsidRPr="00D43C26" w:rsidRDefault="00A16955" w:rsidP="00F4159F">
            <w:pPr>
              <w:spacing w:after="0"/>
            </w:pPr>
            <w:r w:rsidRPr="00D43C26">
              <w:t>Trade misinvoicing</w:t>
            </w:r>
            <w:r w:rsidR="00E06D1A">
              <w:t xml:space="preserve"> by entities</w:t>
            </w:r>
          </w:p>
        </w:tc>
      </w:tr>
      <w:tr w:rsidR="00A16955" w:rsidRPr="00D43C26" w14:paraId="7B723430" w14:textId="77777777" w:rsidTr="3267F38A">
        <w:tc>
          <w:tcPr>
            <w:tcW w:w="2405" w:type="dxa"/>
            <w:gridSpan w:val="2"/>
            <w:shd w:val="clear" w:color="auto" w:fill="DEEAF6" w:themeFill="accent5" w:themeFillTint="33"/>
          </w:tcPr>
          <w:p w14:paraId="3F159694" w14:textId="37D3E2E4" w:rsidR="00A16955" w:rsidRPr="00D43C26" w:rsidRDefault="00A16955" w:rsidP="00F4159F">
            <w:pPr>
              <w:spacing w:after="0"/>
              <w:rPr>
                <w:b/>
                <w:bCs/>
              </w:rPr>
            </w:pPr>
            <w:r w:rsidRPr="00D43C26">
              <w:rPr>
                <w:b/>
                <w:bCs/>
              </w:rPr>
              <w:t xml:space="preserve">Targeted IFFs </w:t>
            </w:r>
            <w:r w:rsidR="00D73063" w:rsidRPr="00D43C26">
              <w:rPr>
                <w:b/>
                <w:bCs/>
              </w:rPr>
              <w:t>flow type</w:t>
            </w:r>
          </w:p>
        </w:tc>
        <w:tc>
          <w:tcPr>
            <w:tcW w:w="3827" w:type="dxa"/>
            <w:gridSpan w:val="2"/>
          </w:tcPr>
          <w:p w14:paraId="3A3E8E86" w14:textId="5312A572" w:rsidR="00A16955" w:rsidRPr="00D43C26" w:rsidRDefault="00D73063" w:rsidP="00F4159F">
            <w:pPr>
              <w:spacing w:after="0"/>
            </w:pPr>
            <w:r w:rsidRPr="00D43C26">
              <w:t>F</w:t>
            </w:r>
            <w:r w:rsidR="00A16955" w:rsidRPr="00D43C26">
              <w:t>2 Trade misinvoicing</w:t>
            </w:r>
          </w:p>
        </w:tc>
        <w:tc>
          <w:tcPr>
            <w:tcW w:w="1985" w:type="dxa"/>
            <w:shd w:val="clear" w:color="auto" w:fill="DEEAF6" w:themeFill="accent5" w:themeFillTint="33"/>
          </w:tcPr>
          <w:p w14:paraId="0CEE8499" w14:textId="39748DCB" w:rsidR="00A16955" w:rsidRPr="00D43C26" w:rsidRDefault="00A16955" w:rsidP="00F4159F">
            <w:pPr>
              <w:spacing w:after="0"/>
              <w:rPr>
                <w:b/>
                <w:bCs/>
              </w:rPr>
            </w:pPr>
            <w:r w:rsidRPr="00D43C26">
              <w:rPr>
                <w:b/>
                <w:bCs/>
              </w:rPr>
              <w:t xml:space="preserve">Tier </w:t>
            </w:r>
            <w:r w:rsidR="002B3759" w:rsidRPr="00D43C26">
              <w:rPr>
                <w:b/>
                <w:bCs/>
              </w:rPr>
              <w:t>classification</w:t>
            </w:r>
          </w:p>
        </w:tc>
        <w:tc>
          <w:tcPr>
            <w:tcW w:w="845" w:type="dxa"/>
          </w:tcPr>
          <w:p w14:paraId="356193DC" w14:textId="77777777" w:rsidR="00A16955" w:rsidRPr="00D43C26" w:rsidRDefault="00A16955" w:rsidP="00F4159F">
            <w:pPr>
              <w:spacing w:after="0"/>
            </w:pPr>
            <w:r w:rsidRPr="00D43C26">
              <w:t>Tier 2</w:t>
            </w:r>
          </w:p>
        </w:tc>
      </w:tr>
      <w:tr w:rsidR="00A16955" w:rsidRPr="00D43C26" w14:paraId="7820D9B8" w14:textId="77777777" w:rsidTr="3267F38A">
        <w:tc>
          <w:tcPr>
            <w:tcW w:w="9062" w:type="dxa"/>
            <w:gridSpan w:val="6"/>
            <w:shd w:val="clear" w:color="auto" w:fill="DEEAF6" w:themeFill="accent5" w:themeFillTint="33"/>
          </w:tcPr>
          <w:p w14:paraId="67490A66" w14:textId="77777777" w:rsidR="00A16955" w:rsidRPr="00D43C26" w:rsidRDefault="00A16955" w:rsidP="00F4159F">
            <w:pPr>
              <w:spacing w:after="0"/>
            </w:pPr>
            <w:r>
              <w:rPr>
                <w:noProof/>
              </w:rPr>
              <w:drawing>
                <wp:inline distT="0" distB="0" distL="0" distR="0" wp14:anchorId="114E77D9" wp14:editId="6268A1BF">
                  <wp:extent cx="288000" cy="288000"/>
                  <wp:effectExtent l="0" t="0" r="0" b="0"/>
                  <wp:docPr id="55" name="Graphic 55"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r w:rsidRPr="3267F38A">
              <w:rPr>
                <w:b/>
                <w:bCs/>
              </w:rPr>
              <w:t>Concept</w:t>
            </w:r>
            <w:r w:rsidRPr="3267F38A">
              <w:rPr>
                <w:noProof/>
              </w:rPr>
              <w:t xml:space="preserve"> </w:t>
            </w:r>
          </w:p>
        </w:tc>
      </w:tr>
      <w:tr w:rsidR="00A16955" w:rsidRPr="00D43C26" w14:paraId="793E3347" w14:textId="77777777" w:rsidTr="3267F38A">
        <w:tc>
          <w:tcPr>
            <w:tcW w:w="9062" w:type="dxa"/>
            <w:gridSpan w:val="6"/>
          </w:tcPr>
          <w:p w14:paraId="1F4D72EA" w14:textId="73C20E64" w:rsidR="00A16955" w:rsidRPr="00D43C26" w:rsidRDefault="00A16955" w:rsidP="00F4159F">
            <w:pPr>
              <w:spacing w:after="0"/>
            </w:pPr>
            <w:r w:rsidRPr="00D43C26">
              <w:t xml:space="preserve">The concept of PCM is based on the trade gap, defined as discrepancy in the values of a trade transaction </w:t>
            </w:r>
            <w:r w:rsidR="004F11D2" w:rsidRPr="00D43C26">
              <w:t xml:space="preserve">in goods </w:t>
            </w:r>
            <w:r w:rsidRPr="00D43C26">
              <w:t>(import, export), independently reported by both trading partners.</w:t>
            </w:r>
          </w:p>
        </w:tc>
      </w:tr>
      <w:tr w:rsidR="00A16955" w:rsidRPr="00D43C26" w14:paraId="1C171163" w14:textId="77777777" w:rsidTr="3267F38A">
        <w:tc>
          <w:tcPr>
            <w:tcW w:w="9062" w:type="dxa"/>
            <w:gridSpan w:val="6"/>
            <w:shd w:val="clear" w:color="auto" w:fill="DEEAF6" w:themeFill="accent5" w:themeFillTint="33"/>
          </w:tcPr>
          <w:p w14:paraId="62421471" w14:textId="77777777" w:rsidR="00A16955" w:rsidRPr="00D43C26" w:rsidRDefault="00A16955" w:rsidP="00F4159F">
            <w:pPr>
              <w:spacing w:after="0"/>
            </w:pPr>
            <w:r>
              <w:rPr>
                <w:noProof/>
              </w:rPr>
              <w:drawing>
                <wp:inline distT="0" distB="0" distL="0" distR="0" wp14:anchorId="007A1649" wp14:editId="5B255A9C">
                  <wp:extent cx="288000" cy="288000"/>
                  <wp:effectExtent l="0" t="0" r="0" b="0"/>
                  <wp:docPr id="9" name="Graphic 9"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r w:rsidRPr="3267F38A">
              <w:rPr>
                <w:b/>
                <w:bCs/>
              </w:rPr>
              <w:t>Assumptions</w:t>
            </w:r>
          </w:p>
        </w:tc>
      </w:tr>
      <w:tr w:rsidR="00A16955" w:rsidRPr="00D43C26" w14:paraId="530ED154" w14:textId="77777777" w:rsidTr="3267F38A">
        <w:tc>
          <w:tcPr>
            <w:tcW w:w="9062" w:type="dxa"/>
            <w:gridSpan w:val="6"/>
          </w:tcPr>
          <w:p w14:paraId="3C02D0BE" w14:textId="57581728" w:rsidR="00A16955" w:rsidRPr="00D43C26" w:rsidRDefault="00A16955" w:rsidP="00F4159F">
            <w:pPr>
              <w:spacing w:after="0"/>
              <w:rPr>
                <w:rFonts w:ascii="Calibri" w:hAnsi="Calibri" w:cs="Calibri"/>
                <w:color w:val="000000"/>
              </w:rPr>
            </w:pPr>
            <w:r w:rsidRPr="00D43C26">
              <w:t>1. Partner’s trade statistics are sufficiently accurate and comparable to treat remaining differences (after adjustments) in mirror statistics as misinvoicing.</w:t>
            </w:r>
            <w:r w:rsidRPr="00D43C26">
              <w:br/>
              <w:t>2. Depending on product detail, assumptions relate to product homogeneity under a particular</w:t>
            </w:r>
            <w:r w:rsidR="004F11D2" w:rsidRPr="00D43C26">
              <w:t xml:space="preserve"> HS</w:t>
            </w:r>
            <w:r w:rsidRPr="00D43C26">
              <w:t xml:space="preserve"> code. </w:t>
            </w:r>
          </w:p>
        </w:tc>
      </w:tr>
      <w:tr w:rsidR="00A16955" w:rsidRPr="00D43C26" w14:paraId="6B1A028B" w14:textId="77777777" w:rsidTr="3267F38A">
        <w:tc>
          <w:tcPr>
            <w:tcW w:w="4530" w:type="dxa"/>
            <w:gridSpan w:val="3"/>
            <w:shd w:val="clear" w:color="auto" w:fill="DEEAF6" w:themeFill="accent5" w:themeFillTint="33"/>
          </w:tcPr>
          <w:p w14:paraId="7A816837" w14:textId="77777777" w:rsidR="00A16955" w:rsidRPr="00D43C26" w:rsidRDefault="00A16955" w:rsidP="00F4159F">
            <w:pPr>
              <w:spacing w:after="0"/>
            </w:pPr>
            <w:r>
              <w:rPr>
                <w:noProof/>
              </w:rPr>
              <w:drawing>
                <wp:inline distT="0" distB="0" distL="0" distR="0" wp14:anchorId="61EEFB7B" wp14:editId="1B5D6B50">
                  <wp:extent cx="288000" cy="288000"/>
                  <wp:effectExtent l="0" t="0" r="0" b="0"/>
                  <wp:docPr id="11" name="Graphic 11"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8000" cy="288000"/>
                          </a:xfrm>
                          <a:prstGeom prst="rect">
                            <a:avLst/>
                          </a:prstGeom>
                        </pic:spPr>
                      </pic:pic>
                    </a:graphicData>
                  </a:graphic>
                </wp:inline>
              </w:drawing>
            </w:r>
            <w:r w:rsidRPr="3267F38A">
              <w:rPr>
                <w:b/>
                <w:bCs/>
              </w:rPr>
              <w:t>Strengths</w:t>
            </w:r>
            <w:r>
              <w:t xml:space="preserve"> </w:t>
            </w:r>
          </w:p>
        </w:tc>
        <w:tc>
          <w:tcPr>
            <w:tcW w:w="4532" w:type="dxa"/>
            <w:gridSpan w:val="3"/>
            <w:shd w:val="clear" w:color="auto" w:fill="DEEAF6" w:themeFill="accent5" w:themeFillTint="33"/>
          </w:tcPr>
          <w:p w14:paraId="51880AFA" w14:textId="77777777" w:rsidR="00A16955" w:rsidRPr="00D43C26" w:rsidRDefault="00A16955" w:rsidP="00F4159F">
            <w:pPr>
              <w:spacing w:after="0"/>
            </w:pPr>
            <w:r>
              <w:rPr>
                <w:noProof/>
              </w:rPr>
              <w:drawing>
                <wp:inline distT="0" distB="0" distL="0" distR="0" wp14:anchorId="33D53934" wp14:editId="5492A6FC">
                  <wp:extent cx="288000" cy="288000"/>
                  <wp:effectExtent l="0" t="0" r="0" b="0"/>
                  <wp:docPr id="192" name="Graphic 192"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2"/>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r w:rsidRPr="3267F38A">
              <w:rPr>
                <w:b/>
                <w:bCs/>
              </w:rPr>
              <w:t>Limitations</w:t>
            </w:r>
          </w:p>
        </w:tc>
      </w:tr>
      <w:tr w:rsidR="00A16955" w:rsidRPr="00D43C26" w14:paraId="5BC62BA1" w14:textId="77777777" w:rsidTr="3267F38A">
        <w:tc>
          <w:tcPr>
            <w:tcW w:w="4530" w:type="dxa"/>
            <w:gridSpan w:val="3"/>
          </w:tcPr>
          <w:p w14:paraId="5FE073A6" w14:textId="77777777" w:rsidR="00A16955" w:rsidRPr="00D43C26" w:rsidRDefault="00A16955" w:rsidP="00F4159F">
            <w:pPr>
              <w:spacing w:after="0"/>
              <w:rPr>
                <w:rFonts w:ascii="Calibri" w:hAnsi="Calibri" w:cs="Calibri"/>
                <w:color w:val="000000"/>
              </w:rPr>
            </w:pPr>
            <w:r w:rsidRPr="00D43C26">
              <w:rPr>
                <w:rFonts w:ascii="Calibri" w:hAnsi="Calibri" w:cs="Calibri"/>
                <w:color w:val="000000"/>
              </w:rPr>
              <w:t>1. Accessible data.</w:t>
            </w:r>
            <w:r w:rsidRPr="00D43C26">
              <w:rPr>
                <w:rFonts w:ascii="Calibri" w:hAnsi="Calibri" w:cs="Calibri"/>
                <w:color w:val="000000"/>
              </w:rPr>
              <w:br/>
              <w:t xml:space="preserve">2. Clear concept. </w:t>
            </w:r>
            <w:r w:rsidRPr="00D43C26">
              <w:rPr>
                <w:rFonts w:ascii="Calibri" w:hAnsi="Calibri" w:cs="Calibri"/>
                <w:color w:val="000000"/>
              </w:rPr>
              <w:br/>
              <w:t>3. Abundant literature and cases.</w:t>
            </w:r>
          </w:p>
        </w:tc>
        <w:tc>
          <w:tcPr>
            <w:tcW w:w="4532" w:type="dxa"/>
            <w:gridSpan w:val="3"/>
          </w:tcPr>
          <w:p w14:paraId="40C18989" w14:textId="46295523" w:rsidR="00A16955" w:rsidRPr="00D43C26" w:rsidRDefault="00A16955" w:rsidP="00F4159F">
            <w:pPr>
              <w:spacing w:after="0"/>
              <w:rPr>
                <w:rFonts w:ascii="Calibri" w:hAnsi="Calibri" w:cs="Calibri"/>
                <w:color w:val="000000"/>
              </w:rPr>
            </w:pPr>
            <w:r w:rsidRPr="00D43C26">
              <w:rPr>
                <w:rFonts w:ascii="Calibri" w:hAnsi="Calibri" w:cs="Calibri"/>
                <w:color w:val="000000"/>
              </w:rPr>
              <w:t xml:space="preserve">1. </w:t>
            </w:r>
            <w:r w:rsidR="004F11D2" w:rsidRPr="00D43C26">
              <w:rPr>
                <w:rFonts w:ascii="Calibri" w:hAnsi="Calibri" w:cs="Calibri"/>
                <w:color w:val="000000"/>
              </w:rPr>
              <w:t xml:space="preserve">Top-down </w:t>
            </w:r>
            <w:r w:rsidRPr="00D43C26">
              <w:rPr>
                <w:rFonts w:ascii="Calibri" w:hAnsi="Calibri" w:cs="Calibri"/>
                <w:color w:val="000000"/>
              </w:rPr>
              <w:t>approach.</w:t>
            </w:r>
            <w:r w:rsidRPr="00D43C26">
              <w:rPr>
                <w:rFonts w:ascii="Calibri" w:hAnsi="Calibri" w:cs="Calibri"/>
                <w:color w:val="000000"/>
              </w:rPr>
              <w:br/>
              <w:t>2. Mixing other reasons of trade discrepancy with IFFs</w:t>
            </w:r>
            <w:r w:rsidR="004F11D2" w:rsidRPr="00D43C26">
              <w:rPr>
                <w:rFonts w:ascii="Calibri" w:hAnsi="Calibri" w:cs="Calibri"/>
                <w:color w:val="000000"/>
              </w:rPr>
              <w:t>, including a known methodological cause, notably partner attribution</w:t>
            </w:r>
            <w:r w:rsidRPr="00D43C26">
              <w:rPr>
                <w:rFonts w:ascii="Calibri" w:hAnsi="Calibri" w:cs="Calibri"/>
                <w:color w:val="000000"/>
              </w:rPr>
              <w:t>.</w:t>
            </w:r>
          </w:p>
        </w:tc>
      </w:tr>
      <w:tr w:rsidR="00A16955" w:rsidRPr="00D43C26" w14:paraId="6EC2DA3B" w14:textId="77777777" w:rsidTr="3267F38A">
        <w:tc>
          <w:tcPr>
            <w:tcW w:w="4530" w:type="dxa"/>
            <w:gridSpan w:val="3"/>
            <w:shd w:val="clear" w:color="auto" w:fill="DEEAF6" w:themeFill="accent5" w:themeFillTint="33"/>
          </w:tcPr>
          <w:p w14:paraId="5C8497AD" w14:textId="77777777" w:rsidR="00A16955" w:rsidRPr="00D43C26" w:rsidRDefault="00A16955" w:rsidP="00F4159F">
            <w:pPr>
              <w:spacing w:after="0"/>
            </w:pPr>
            <w:r>
              <w:rPr>
                <w:noProof/>
              </w:rPr>
              <w:drawing>
                <wp:inline distT="0" distB="0" distL="0" distR="0" wp14:anchorId="27C3FDFE" wp14:editId="775AA4D3">
                  <wp:extent cx="288000" cy="288000"/>
                  <wp:effectExtent l="0" t="0" r="0" b="0"/>
                  <wp:docPr id="2" name="Graphic 2"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r w:rsidRPr="3267F38A">
              <w:rPr>
                <w:b/>
                <w:bCs/>
              </w:rPr>
              <w:t>Data sources</w:t>
            </w:r>
          </w:p>
        </w:tc>
        <w:tc>
          <w:tcPr>
            <w:tcW w:w="4532" w:type="dxa"/>
            <w:gridSpan w:val="3"/>
            <w:shd w:val="clear" w:color="auto" w:fill="DEEAF6" w:themeFill="accent5" w:themeFillTint="33"/>
          </w:tcPr>
          <w:p w14:paraId="65BBC008" w14:textId="77777777" w:rsidR="00A16955" w:rsidRPr="00D43C26" w:rsidRDefault="00A16955" w:rsidP="00F4159F">
            <w:pPr>
              <w:spacing w:after="0"/>
            </w:pPr>
            <w:r>
              <w:rPr>
                <w:noProof/>
              </w:rPr>
              <w:drawing>
                <wp:inline distT="0" distB="0" distL="0" distR="0" wp14:anchorId="38197B2A" wp14:editId="6C53055A">
                  <wp:extent cx="288000" cy="288000"/>
                  <wp:effectExtent l="0" t="0" r="0" b="0"/>
                  <wp:docPr id="193" name="Graphic 193"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3"/>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r w:rsidRPr="3267F38A">
              <w:rPr>
                <w:b/>
                <w:bCs/>
              </w:rPr>
              <w:t>Mitigation of limitations</w:t>
            </w:r>
            <w:r>
              <w:t xml:space="preserve"> </w:t>
            </w:r>
          </w:p>
        </w:tc>
      </w:tr>
      <w:tr w:rsidR="00A16955" w:rsidRPr="00D43C26" w14:paraId="370B9792" w14:textId="77777777" w:rsidTr="3267F38A">
        <w:tc>
          <w:tcPr>
            <w:tcW w:w="4530" w:type="dxa"/>
            <w:gridSpan w:val="3"/>
          </w:tcPr>
          <w:p w14:paraId="443AF5C8" w14:textId="77777777" w:rsidR="00A16955" w:rsidRPr="00D43C26" w:rsidRDefault="00A16955" w:rsidP="00F4159F">
            <w:pPr>
              <w:spacing w:after="0"/>
              <w:rPr>
                <w:rFonts w:ascii="Calibri" w:hAnsi="Calibri" w:cs="Calibri"/>
                <w:color w:val="000000"/>
              </w:rPr>
            </w:pPr>
            <w:r w:rsidRPr="00D43C26">
              <w:rPr>
                <w:rFonts w:ascii="Calibri" w:hAnsi="Calibri" w:cs="Calibri"/>
                <w:color w:val="000000"/>
              </w:rPr>
              <w:t>1. Bilateral trade statistics (national sources, including that of partner countries, or United Nations Comtrade, IMF DOTS).</w:t>
            </w:r>
            <w:r w:rsidRPr="00D43C26">
              <w:rPr>
                <w:rFonts w:ascii="Calibri" w:hAnsi="Calibri" w:cs="Calibri"/>
                <w:color w:val="000000"/>
              </w:rPr>
              <w:br/>
              <w:t>2. UNCTAD Global Transport Costs database, OECD's ITIC or similar to address CIF-FOB discrepancies.</w:t>
            </w:r>
          </w:p>
        </w:tc>
        <w:tc>
          <w:tcPr>
            <w:tcW w:w="4532" w:type="dxa"/>
            <w:gridSpan w:val="3"/>
          </w:tcPr>
          <w:p w14:paraId="24F3C64F" w14:textId="0441286B" w:rsidR="00A16955" w:rsidRPr="00D43C26" w:rsidRDefault="00A16955" w:rsidP="00F4159F">
            <w:pPr>
              <w:spacing w:after="0"/>
              <w:rPr>
                <w:rFonts w:ascii="Calibri" w:hAnsi="Calibri" w:cs="Calibri"/>
                <w:color w:val="000000"/>
              </w:rPr>
            </w:pPr>
            <w:r w:rsidRPr="00D43C26">
              <w:rPr>
                <w:rFonts w:ascii="Calibri" w:hAnsi="Calibri" w:cs="Calibri"/>
                <w:color w:val="000000"/>
              </w:rPr>
              <w:t>1. Use as granular level data as possible, lowest category within product classification</w:t>
            </w:r>
            <w:r w:rsidR="004D2546" w:rsidRPr="00D43C26">
              <w:rPr>
                <w:rFonts w:ascii="Calibri" w:hAnsi="Calibri" w:cs="Calibri"/>
                <w:color w:val="000000"/>
              </w:rPr>
              <w:t xml:space="preserve"> (i.e., HS sub-heading for international comparability)</w:t>
            </w:r>
            <w:r w:rsidRPr="00D43C26">
              <w:rPr>
                <w:rFonts w:ascii="Calibri" w:hAnsi="Calibri" w:cs="Calibri"/>
                <w:color w:val="000000"/>
              </w:rPr>
              <w:t>. Additionally, use individual partners for at least the majority of trade (e.g., to cover more than 75% of the trade).</w:t>
            </w:r>
            <w:r w:rsidRPr="00D43C26">
              <w:rPr>
                <w:rFonts w:ascii="Calibri" w:hAnsi="Calibri" w:cs="Calibri"/>
                <w:color w:val="000000"/>
              </w:rPr>
              <w:br/>
              <w:t xml:space="preserve">2. Thoroughly inspect discrepancies at lowest-category commodity using various inputs, including experts' knowledge. </w:t>
            </w:r>
          </w:p>
        </w:tc>
      </w:tr>
      <w:tr w:rsidR="00A16955" w:rsidRPr="00D43C26" w14:paraId="0D617166" w14:textId="77777777" w:rsidTr="3267F38A">
        <w:tc>
          <w:tcPr>
            <w:tcW w:w="9062" w:type="dxa"/>
            <w:gridSpan w:val="6"/>
            <w:shd w:val="clear" w:color="auto" w:fill="DEEAF6" w:themeFill="accent5" w:themeFillTint="33"/>
          </w:tcPr>
          <w:p w14:paraId="52C291D5" w14:textId="77777777" w:rsidR="00A16955" w:rsidRPr="00D43C26" w:rsidRDefault="00A16955" w:rsidP="00F4159F">
            <w:pPr>
              <w:spacing w:after="0"/>
            </w:pPr>
            <w:r>
              <w:rPr>
                <w:noProof/>
              </w:rPr>
              <w:drawing>
                <wp:inline distT="0" distB="0" distL="0" distR="0" wp14:anchorId="6AD1E38D" wp14:editId="456955DC">
                  <wp:extent cx="288000" cy="288000"/>
                  <wp:effectExtent l="0" t="0" r="0" b="0"/>
                  <wp:docPr id="194" name="Graphic 194"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4"/>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r w:rsidRPr="3267F38A">
              <w:rPr>
                <w:b/>
                <w:bCs/>
              </w:rPr>
              <w:t>Calculation</w:t>
            </w:r>
            <w:r w:rsidRPr="3267F38A">
              <w:rPr>
                <w:noProof/>
              </w:rPr>
              <w:t xml:space="preserve"> </w:t>
            </w:r>
          </w:p>
        </w:tc>
      </w:tr>
      <w:tr w:rsidR="00A16955" w:rsidRPr="00D43C26" w14:paraId="5B6C060B" w14:textId="77777777" w:rsidTr="3267F38A">
        <w:tc>
          <w:tcPr>
            <w:tcW w:w="9062" w:type="dxa"/>
            <w:gridSpan w:val="6"/>
          </w:tcPr>
          <w:p w14:paraId="6E480170" w14:textId="3FDD030F" w:rsidR="00A16955" w:rsidRPr="00D43C26" w:rsidRDefault="00A16955" w:rsidP="00F4159F">
            <w:pPr>
              <w:spacing w:after="0"/>
              <w:rPr>
                <w:rFonts w:ascii="Calibri" w:hAnsi="Calibri" w:cs="Calibri"/>
                <w:color w:val="000000"/>
              </w:rPr>
            </w:pPr>
            <w:r w:rsidRPr="00D43C26">
              <w:rPr>
                <w:rFonts w:ascii="Calibri" w:hAnsi="Calibri" w:cs="Calibri"/>
                <w:color w:val="000000"/>
              </w:rPr>
              <w:t>1. Observe discrepancy at lowest-level aggregation of products.</w:t>
            </w:r>
            <w:r w:rsidR="004D2546" w:rsidRPr="00D43C26">
              <w:rPr>
                <w:rFonts w:ascii="Calibri" w:hAnsi="Calibri" w:cs="Calibri"/>
                <w:color w:val="000000"/>
              </w:rPr>
              <w:t xml:space="preserve"> </w:t>
            </w:r>
            <w:r w:rsidRPr="00D43C26">
              <w:rPr>
                <w:rFonts w:ascii="Calibri" w:hAnsi="Calibri" w:cs="Calibri"/>
                <w:color w:val="000000"/>
              </w:rPr>
              <w:br/>
              <w:t xml:space="preserve">2. Calculate and apply CIF/FOB ratio by commodity, if applicable. </w:t>
            </w:r>
            <w:r w:rsidRPr="00D43C26">
              <w:rPr>
                <w:rFonts w:ascii="Calibri" w:hAnsi="Calibri" w:cs="Calibri"/>
                <w:color w:val="000000"/>
              </w:rPr>
              <w:br/>
              <w:t xml:space="preserve">3. Inspect remaining discrepancy and check what underlying factors drive them. </w:t>
            </w:r>
            <w:r w:rsidRPr="00D43C26">
              <w:rPr>
                <w:rFonts w:ascii="Calibri" w:hAnsi="Calibri" w:cs="Calibri"/>
                <w:color w:val="000000"/>
              </w:rPr>
              <w:br/>
              <w:t xml:space="preserve">4. Apply reliability weighting. </w:t>
            </w:r>
            <w:r w:rsidRPr="00D43C26">
              <w:rPr>
                <w:rFonts w:ascii="Calibri" w:hAnsi="Calibri" w:cs="Calibri"/>
                <w:color w:val="000000"/>
              </w:rPr>
              <w:br/>
              <w:t>5. Treat remaining discrepancy at lowest-level aggregation of products as misinvoicing, hence tax and commercial IFFs' inflows and outflows.</w:t>
            </w:r>
            <w:r w:rsidRPr="00D43C26">
              <w:rPr>
                <w:rFonts w:ascii="Calibri" w:hAnsi="Calibri" w:cs="Calibri"/>
                <w:color w:val="000000"/>
              </w:rPr>
              <w:br/>
              <w:t xml:space="preserve">6. Aggregate #5. </w:t>
            </w:r>
          </w:p>
        </w:tc>
      </w:tr>
      <w:tr w:rsidR="00A16955" w:rsidRPr="00D43C26" w14:paraId="1BF3951A" w14:textId="77777777" w:rsidTr="3267F38A">
        <w:tc>
          <w:tcPr>
            <w:tcW w:w="9062" w:type="dxa"/>
            <w:gridSpan w:val="6"/>
            <w:shd w:val="clear" w:color="auto" w:fill="DEEAF6" w:themeFill="accent5" w:themeFillTint="33"/>
          </w:tcPr>
          <w:p w14:paraId="5A30C49D" w14:textId="77777777" w:rsidR="00A16955" w:rsidRPr="00D43C26" w:rsidRDefault="00A16955" w:rsidP="00F4159F">
            <w:pPr>
              <w:spacing w:after="0"/>
            </w:pPr>
            <w:r>
              <w:rPr>
                <w:noProof/>
              </w:rPr>
              <w:drawing>
                <wp:inline distT="0" distB="0" distL="0" distR="0" wp14:anchorId="36139335" wp14:editId="1B5F344A">
                  <wp:extent cx="288000" cy="288000"/>
                  <wp:effectExtent l="0" t="0" r="0" b="0"/>
                  <wp:docPr id="16" name="Graphic 16"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r w:rsidRPr="3267F38A">
              <w:rPr>
                <w:b/>
                <w:bCs/>
              </w:rPr>
              <w:t>Results</w:t>
            </w:r>
          </w:p>
        </w:tc>
      </w:tr>
      <w:tr w:rsidR="00A16955" w:rsidRPr="00D43C26" w14:paraId="5AF10E6B" w14:textId="77777777" w:rsidTr="3267F38A">
        <w:tc>
          <w:tcPr>
            <w:tcW w:w="9062" w:type="dxa"/>
            <w:gridSpan w:val="6"/>
          </w:tcPr>
          <w:p w14:paraId="6AABC6A8" w14:textId="761679A5" w:rsidR="00A16955" w:rsidRPr="00D43C26" w:rsidRDefault="00A16955" w:rsidP="00F4159F">
            <w:pPr>
              <w:spacing w:after="0"/>
            </w:pPr>
            <w:r w:rsidRPr="00D43C26">
              <w:lastRenderedPageBreak/>
              <w:t>Results are presented for a total economy on an annual level:</w:t>
            </w:r>
            <w:r w:rsidR="002560FE">
              <w:t xml:space="preserve"> </w:t>
            </w:r>
            <w:r w:rsidRPr="00D43C26">
              <w:t>inward IFFs</w:t>
            </w:r>
            <w:r w:rsidR="002560FE">
              <w:t xml:space="preserve"> and </w:t>
            </w:r>
            <w:r w:rsidRPr="00D43C26">
              <w:t>outward IFFs.</w:t>
            </w:r>
          </w:p>
        </w:tc>
      </w:tr>
      <w:tr w:rsidR="00A16955" w:rsidRPr="00D43C26" w14:paraId="12F97FAF" w14:textId="77777777" w:rsidTr="3267F38A">
        <w:tc>
          <w:tcPr>
            <w:tcW w:w="9062" w:type="dxa"/>
            <w:gridSpan w:val="6"/>
            <w:shd w:val="clear" w:color="auto" w:fill="DEEAF6" w:themeFill="accent5" w:themeFillTint="33"/>
          </w:tcPr>
          <w:p w14:paraId="6CC31495" w14:textId="77777777" w:rsidR="00A16955" w:rsidRPr="00D43C26" w:rsidRDefault="00A16955" w:rsidP="00F4159F">
            <w:pPr>
              <w:spacing w:after="0"/>
            </w:pPr>
            <w:r>
              <w:rPr>
                <w:noProof/>
              </w:rPr>
              <w:drawing>
                <wp:inline distT="0" distB="0" distL="0" distR="0" wp14:anchorId="1C6C427D" wp14:editId="532620FD">
                  <wp:extent cx="288000" cy="288000"/>
                  <wp:effectExtent l="0" t="0" r="0" b="0"/>
                  <wp:docPr id="197" name="Graphic 197"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7"/>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8000" cy="288000"/>
                          </a:xfrm>
                          <a:prstGeom prst="rect">
                            <a:avLst/>
                          </a:prstGeom>
                        </pic:spPr>
                      </pic:pic>
                    </a:graphicData>
                  </a:graphic>
                </wp:inline>
              </w:drawing>
            </w:r>
            <w:r w:rsidRPr="3267F38A">
              <w:rPr>
                <w:b/>
                <w:bCs/>
              </w:rPr>
              <w:t>Special note(s)</w:t>
            </w:r>
            <w:r w:rsidRPr="3267F38A">
              <w:rPr>
                <w:noProof/>
              </w:rPr>
              <w:t xml:space="preserve"> </w:t>
            </w:r>
          </w:p>
        </w:tc>
      </w:tr>
      <w:tr w:rsidR="00A16955" w:rsidRPr="00D43C26" w14:paraId="19369254" w14:textId="77777777" w:rsidTr="3267F38A">
        <w:tc>
          <w:tcPr>
            <w:tcW w:w="9062" w:type="dxa"/>
            <w:gridSpan w:val="6"/>
          </w:tcPr>
          <w:p w14:paraId="08A41141" w14:textId="77777777" w:rsidR="00A16955" w:rsidRPr="00D43C26" w:rsidRDefault="00A16955" w:rsidP="00F4159F">
            <w:pPr>
              <w:spacing w:after="0"/>
            </w:pPr>
            <w:r w:rsidRPr="00D43C26">
              <w:t>Close collaboration with statistical units at Customs authorities.</w:t>
            </w:r>
          </w:p>
        </w:tc>
      </w:tr>
      <w:tr w:rsidR="00A16955" w:rsidRPr="00D43C26" w14:paraId="3967B719" w14:textId="77777777" w:rsidTr="3267F38A">
        <w:tc>
          <w:tcPr>
            <w:tcW w:w="9062" w:type="dxa"/>
            <w:gridSpan w:val="6"/>
            <w:shd w:val="clear" w:color="auto" w:fill="DEEAF6" w:themeFill="accent5" w:themeFillTint="33"/>
          </w:tcPr>
          <w:p w14:paraId="5D985E54" w14:textId="77777777" w:rsidR="00A16955" w:rsidRPr="00D43C26" w:rsidRDefault="00A16955" w:rsidP="00F4159F">
            <w:pPr>
              <w:spacing w:after="0"/>
            </w:pPr>
            <w:r>
              <w:rPr>
                <w:noProof/>
              </w:rPr>
              <w:drawing>
                <wp:inline distT="0" distB="0" distL="0" distR="0" wp14:anchorId="1FA9CFF8" wp14:editId="45171AB2">
                  <wp:extent cx="288000" cy="288000"/>
                  <wp:effectExtent l="0" t="0" r="0" b="0"/>
                  <wp:docPr id="198" name="Graphic 198"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8"/>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r w:rsidRPr="3267F38A">
              <w:rPr>
                <w:b/>
                <w:bCs/>
              </w:rPr>
              <w:t>Case studies</w:t>
            </w:r>
          </w:p>
        </w:tc>
      </w:tr>
      <w:tr w:rsidR="00A16955" w:rsidRPr="00D43C26" w14:paraId="5BE88CF5" w14:textId="77777777" w:rsidTr="3267F38A">
        <w:tc>
          <w:tcPr>
            <w:tcW w:w="9062" w:type="dxa"/>
            <w:gridSpan w:val="6"/>
          </w:tcPr>
          <w:p w14:paraId="5AE81A37" w14:textId="7A2F421C" w:rsidR="00A16955" w:rsidRPr="00D43C26" w:rsidRDefault="00A16955" w:rsidP="00F4159F">
            <w:pPr>
              <w:spacing w:after="0"/>
            </w:pPr>
            <w:r w:rsidRPr="00D43C26">
              <w:t>1. CIF by commodity (Schuster and Davis, 2020).</w:t>
            </w:r>
          </w:p>
          <w:p w14:paraId="15428B8C" w14:textId="7EA6EA8C" w:rsidR="00A16955" w:rsidRPr="00D43C26" w:rsidRDefault="00A16955" w:rsidP="00F4159F">
            <w:pPr>
              <w:spacing w:after="0"/>
            </w:pPr>
            <w:r w:rsidRPr="00D43C26">
              <w:t>2. Country of consignment in mobile phone trade between Canada and China (UNSD, 2019).</w:t>
            </w:r>
          </w:p>
          <w:p w14:paraId="34F02BFD" w14:textId="77777777" w:rsidR="00A16955" w:rsidRPr="00D43C26" w:rsidRDefault="00A16955" w:rsidP="00F4159F">
            <w:pPr>
              <w:spacing w:after="0"/>
            </w:pPr>
            <w:r w:rsidRPr="00D43C26">
              <w:t>3. Bilateral trade asymmetries joint studies (European Commission, 2009; Statistics Canada, 2019).</w:t>
            </w:r>
          </w:p>
          <w:p w14:paraId="7CD4503D" w14:textId="55DBD49B" w:rsidR="00A16955" w:rsidRPr="00D43C26" w:rsidRDefault="00A16955" w:rsidP="00F4159F">
            <w:pPr>
              <w:spacing w:after="0"/>
            </w:pPr>
            <w:r w:rsidRPr="00D43C26">
              <w:t>4. Weighting discrepancies (UNECLAC, 2016).</w:t>
            </w:r>
          </w:p>
          <w:p w14:paraId="7817315D" w14:textId="36A194AE" w:rsidR="00A16955" w:rsidRPr="00D43C26" w:rsidRDefault="00A16955" w:rsidP="00F4159F">
            <w:pPr>
              <w:spacing w:after="0"/>
            </w:pPr>
            <w:r w:rsidRPr="00D43C26">
              <w:t>5. PCM for South Africa imports (WCO, 2018).</w:t>
            </w:r>
          </w:p>
          <w:p w14:paraId="2CCDAAB5" w14:textId="592920EA" w:rsidR="00A16955" w:rsidRPr="00D43C26" w:rsidRDefault="00A16955" w:rsidP="00F4159F">
            <w:pPr>
              <w:spacing w:after="0"/>
            </w:pPr>
            <w:r w:rsidRPr="00D43C26">
              <w:t>6. Trade misinvoicing in the Arab region (UNESCWA, 2016).</w:t>
            </w:r>
          </w:p>
          <w:p w14:paraId="691AA736" w14:textId="19E0865B" w:rsidR="00A16955" w:rsidRPr="00D43C26" w:rsidRDefault="00A16955" w:rsidP="00F4159F">
            <w:pPr>
              <w:spacing w:after="0"/>
            </w:pPr>
            <w:r w:rsidRPr="00D43C26">
              <w:t>7. Trade misinvoicing in Asia and the Pacific (Kravchenko, 2018).</w:t>
            </w:r>
          </w:p>
          <w:p w14:paraId="3E8DAB11" w14:textId="77777777" w:rsidR="00A16955" w:rsidRPr="00D43C26" w:rsidRDefault="00A16955" w:rsidP="00F4159F">
            <w:pPr>
              <w:spacing w:after="0"/>
            </w:pPr>
            <w:r w:rsidRPr="00D43C26">
              <w:t>8. Mirror trade gap in Africa (Schuster and Davis, 2020).</w:t>
            </w:r>
          </w:p>
        </w:tc>
      </w:tr>
    </w:tbl>
    <w:p w14:paraId="03746E6C" w14:textId="77777777" w:rsidR="00A16955" w:rsidRPr="00D43C26" w:rsidRDefault="00A16955" w:rsidP="00A16955"/>
    <w:p w14:paraId="24BCC96D" w14:textId="77777777" w:rsidR="00A16955" w:rsidRPr="00D43C26" w:rsidRDefault="00A16955" w:rsidP="00A16955">
      <w:r w:rsidRPr="00D43C2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A16955" w:rsidRPr="00D43C26" w14:paraId="4DD63658" w14:textId="77777777" w:rsidTr="3267F38A">
        <w:tc>
          <w:tcPr>
            <w:tcW w:w="2265" w:type="dxa"/>
            <w:tcBorders>
              <w:right w:val="nil"/>
            </w:tcBorders>
            <w:shd w:val="clear" w:color="auto" w:fill="DEEAF6" w:themeFill="accent5" w:themeFillTint="33"/>
          </w:tcPr>
          <w:p w14:paraId="79882A2B" w14:textId="77777777" w:rsidR="00A16955" w:rsidRPr="00D43C26" w:rsidRDefault="00A16955" w:rsidP="00F4159F">
            <w:pPr>
              <w:spacing w:after="0"/>
            </w:pPr>
            <w:r w:rsidRPr="00D43C26">
              <w:rPr>
                <w:b/>
                <w:bCs/>
              </w:rPr>
              <w:lastRenderedPageBreak/>
              <w:t>Method fact sheet</w:t>
            </w:r>
          </w:p>
        </w:tc>
        <w:tc>
          <w:tcPr>
            <w:tcW w:w="6797" w:type="dxa"/>
            <w:gridSpan w:val="5"/>
            <w:tcBorders>
              <w:left w:val="nil"/>
            </w:tcBorders>
            <w:shd w:val="clear" w:color="auto" w:fill="DEEAF6" w:themeFill="accent5" w:themeFillTint="33"/>
          </w:tcPr>
          <w:p w14:paraId="77C6B013" w14:textId="3A7F5F0A" w:rsidR="00A16955" w:rsidRPr="00D43C26" w:rsidRDefault="00A16955" w:rsidP="00F4159F">
            <w:pPr>
              <w:spacing w:after="0"/>
              <w:jc w:val="right"/>
              <w:rPr>
                <w:b/>
                <w:bCs/>
              </w:rPr>
            </w:pPr>
            <w:r w:rsidRPr="00D43C26">
              <w:rPr>
                <w:b/>
                <w:bCs/>
              </w:rPr>
              <w:t xml:space="preserve">METHODOLOGICAL GUIDELINES </w:t>
            </w:r>
            <w:r w:rsidR="00A1784C">
              <w:rPr>
                <w:b/>
                <w:bCs/>
              </w:rPr>
              <w:t>TO MEASURE</w:t>
            </w:r>
            <w:r w:rsidR="00A1784C" w:rsidRPr="00D43C26">
              <w:rPr>
                <w:b/>
                <w:bCs/>
              </w:rPr>
              <w:t xml:space="preserve"> </w:t>
            </w:r>
          </w:p>
          <w:p w14:paraId="1C5DBDDE" w14:textId="77777777" w:rsidR="00A16955" w:rsidRPr="00D43C26" w:rsidRDefault="00A16955" w:rsidP="00F4159F">
            <w:pPr>
              <w:spacing w:after="0"/>
              <w:jc w:val="right"/>
              <w:rPr>
                <w:b/>
                <w:bCs/>
              </w:rPr>
            </w:pPr>
            <w:r w:rsidRPr="00D43C26">
              <w:rPr>
                <w:b/>
                <w:bCs/>
              </w:rPr>
              <w:t xml:space="preserve">TAX AND COMMERCIAL ILLICIT FINANCIAL FLOWS </w:t>
            </w:r>
          </w:p>
          <w:p w14:paraId="5349B5F4" w14:textId="77777777" w:rsidR="00A16955" w:rsidRPr="00D43C26" w:rsidRDefault="00A16955" w:rsidP="00F4159F">
            <w:pPr>
              <w:spacing w:after="0"/>
              <w:jc w:val="right"/>
              <w:rPr>
                <w:b/>
                <w:bCs/>
                <w:sz w:val="20"/>
                <w:szCs w:val="20"/>
              </w:rPr>
            </w:pPr>
            <w:r w:rsidRPr="00D43C26">
              <w:rPr>
                <w:b/>
                <w:bCs/>
                <w:sz w:val="20"/>
                <w:szCs w:val="20"/>
              </w:rPr>
              <w:t>Methods for pilot testing</w:t>
            </w:r>
          </w:p>
        </w:tc>
      </w:tr>
      <w:tr w:rsidR="00A16955" w:rsidRPr="00D43C26" w14:paraId="25EE9A68" w14:textId="77777777" w:rsidTr="3267F38A">
        <w:tc>
          <w:tcPr>
            <w:tcW w:w="2405" w:type="dxa"/>
            <w:gridSpan w:val="2"/>
            <w:shd w:val="clear" w:color="auto" w:fill="DEEAF6" w:themeFill="accent5" w:themeFillTint="33"/>
          </w:tcPr>
          <w:p w14:paraId="2DEFAC9B" w14:textId="77777777" w:rsidR="00A16955" w:rsidRPr="00D43C26" w:rsidRDefault="00A16955" w:rsidP="00F4159F">
            <w:pPr>
              <w:spacing w:after="0"/>
              <w:rPr>
                <w:b/>
                <w:bCs/>
              </w:rPr>
            </w:pPr>
            <w:r w:rsidRPr="00D43C26">
              <w:rPr>
                <w:b/>
                <w:bCs/>
              </w:rPr>
              <w:t>Method title</w:t>
            </w:r>
          </w:p>
        </w:tc>
        <w:tc>
          <w:tcPr>
            <w:tcW w:w="6657" w:type="dxa"/>
            <w:gridSpan w:val="4"/>
          </w:tcPr>
          <w:p w14:paraId="5EBD7998" w14:textId="77777777" w:rsidR="00A16955" w:rsidRPr="00D43C26" w:rsidRDefault="00A16955" w:rsidP="00F4159F">
            <w:pPr>
              <w:spacing w:after="0"/>
            </w:pPr>
            <w:r w:rsidRPr="00D43C26">
              <w:t>#2 Price Filter Method (PFM) +</w:t>
            </w:r>
          </w:p>
        </w:tc>
      </w:tr>
      <w:tr w:rsidR="00A16955" w:rsidRPr="00D43C26" w14:paraId="1AB90DA8" w14:textId="77777777" w:rsidTr="3267F38A">
        <w:tc>
          <w:tcPr>
            <w:tcW w:w="2405" w:type="dxa"/>
            <w:gridSpan w:val="2"/>
            <w:shd w:val="clear" w:color="auto" w:fill="DEEAF6" w:themeFill="accent5" w:themeFillTint="33"/>
          </w:tcPr>
          <w:p w14:paraId="4DA6479F" w14:textId="77777777" w:rsidR="00A16955" w:rsidRPr="00D43C26" w:rsidRDefault="00A16955" w:rsidP="00F4159F">
            <w:pPr>
              <w:spacing w:after="0"/>
              <w:rPr>
                <w:b/>
                <w:bCs/>
              </w:rPr>
            </w:pPr>
            <w:r w:rsidRPr="00D43C26">
              <w:rPr>
                <w:b/>
                <w:bCs/>
              </w:rPr>
              <w:t>Alternative title(s)</w:t>
            </w:r>
          </w:p>
        </w:tc>
        <w:tc>
          <w:tcPr>
            <w:tcW w:w="6657" w:type="dxa"/>
            <w:gridSpan w:val="4"/>
          </w:tcPr>
          <w:p w14:paraId="7F166F4E" w14:textId="77777777" w:rsidR="00A16955" w:rsidRPr="00D43C26" w:rsidRDefault="00A16955" w:rsidP="00F4159F">
            <w:pPr>
              <w:spacing w:after="0"/>
            </w:pPr>
            <w:r w:rsidRPr="00D43C26">
              <w:t>Abnormal prices</w:t>
            </w:r>
          </w:p>
        </w:tc>
      </w:tr>
      <w:tr w:rsidR="00A16955" w:rsidRPr="00D43C26" w14:paraId="63173C73" w14:textId="77777777" w:rsidTr="3267F38A">
        <w:tc>
          <w:tcPr>
            <w:tcW w:w="2405" w:type="dxa"/>
            <w:gridSpan w:val="2"/>
            <w:shd w:val="clear" w:color="auto" w:fill="DEEAF6" w:themeFill="accent5" w:themeFillTint="33"/>
          </w:tcPr>
          <w:p w14:paraId="484DA57F" w14:textId="77777777" w:rsidR="00A16955" w:rsidRPr="00D43C26" w:rsidRDefault="00A16955" w:rsidP="00F4159F">
            <w:pPr>
              <w:spacing w:after="0"/>
              <w:rPr>
                <w:b/>
                <w:bCs/>
              </w:rPr>
            </w:pPr>
            <w:r w:rsidRPr="00D43C26">
              <w:rPr>
                <w:b/>
                <w:bCs/>
              </w:rPr>
              <w:t>Method group</w:t>
            </w:r>
          </w:p>
        </w:tc>
        <w:tc>
          <w:tcPr>
            <w:tcW w:w="6657" w:type="dxa"/>
            <w:gridSpan w:val="4"/>
          </w:tcPr>
          <w:p w14:paraId="65D2CD34" w14:textId="1EFCFE8E" w:rsidR="00A16955" w:rsidRPr="00D43C26" w:rsidRDefault="00A16955" w:rsidP="00F4159F">
            <w:pPr>
              <w:spacing w:after="0"/>
            </w:pPr>
            <w:r w:rsidRPr="00D43C26">
              <w:t>Trade misinvoicing</w:t>
            </w:r>
            <w:r w:rsidR="00E06D1A">
              <w:t xml:space="preserve"> by entities</w:t>
            </w:r>
          </w:p>
        </w:tc>
      </w:tr>
      <w:tr w:rsidR="00A16955" w:rsidRPr="00D43C26" w14:paraId="3778F6C4" w14:textId="77777777" w:rsidTr="3267F38A">
        <w:tc>
          <w:tcPr>
            <w:tcW w:w="2405" w:type="dxa"/>
            <w:gridSpan w:val="2"/>
            <w:shd w:val="clear" w:color="auto" w:fill="DEEAF6" w:themeFill="accent5" w:themeFillTint="33"/>
          </w:tcPr>
          <w:p w14:paraId="0D76EB96" w14:textId="1BC777D2" w:rsidR="00A16955" w:rsidRPr="00D43C26" w:rsidRDefault="00A16955" w:rsidP="00F4159F">
            <w:pPr>
              <w:spacing w:after="0"/>
              <w:rPr>
                <w:b/>
                <w:bCs/>
              </w:rPr>
            </w:pPr>
            <w:bookmarkStart w:id="1" w:name="_Hlk66616892"/>
            <w:r w:rsidRPr="00D43C26">
              <w:rPr>
                <w:b/>
                <w:bCs/>
              </w:rPr>
              <w:t xml:space="preserve">Targeted IFFs </w:t>
            </w:r>
            <w:r w:rsidR="001306A4" w:rsidRPr="00D43C26">
              <w:rPr>
                <w:b/>
                <w:bCs/>
              </w:rPr>
              <w:t>flow type</w:t>
            </w:r>
          </w:p>
        </w:tc>
        <w:tc>
          <w:tcPr>
            <w:tcW w:w="3827" w:type="dxa"/>
            <w:gridSpan w:val="2"/>
          </w:tcPr>
          <w:p w14:paraId="26388ADF" w14:textId="653A316C" w:rsidR="00A16955" w:rsidRPr="00D43C26" w:rsidRDefault="001306A4" w:rsidP="00F4159F">
            <w:pPr>
              <w:spacing w:after="0"/>
            </w:pPr>
            <w:r w:rsidRPr="00D43C26">
              <w:t>F</w:t>
            </w:r>
            <w:r w:rsidR="00A16955" w:rsidRPr="00D43C26">
              <w:t>2 Trade misinvoicing</w:t>
            </w:r>
          </w:p>
        </w:tc>
        <w:tc>
          <w:tcPr>
            <w:tcW w:w="1985" w:type="dxa"/>
            <w:shd w:val="clear" w:color="auto" w:fill="DEEAF6" w:themeFill="accent5" w:themeFillTint="33"/>
          </w:tcPr>
          <w:p w14:paraId="62345B63" w14:textId="4278895F" w:rsidR="00A16955" w:rsidRPr="00D43C26" w:rsidRDefault="00A16955" w:rsidP="00F4159F">
            <w:pPr>
              <w:spacing w:after="0"/>
              <w:rPr>
                <w:b/>
                <w:bCs/>
              </w:rPr>
            </w:pPr>
            <w:r w:rsidRPr="00D43C26">
              <w:rPr>
                <w:b/>
                <w:bCs/>
              </w:rPr>
              <w:t xml:space="preserve">Tier </w:t>
            </w:r>
            <w:r w:rsidR="002B3759" w:rsidRPr="00D43C26">
              <w:rPr>
                <w:b/>
                <w:bCs/>
              </w:rPr>
              <w:t>classification</w:t>
            </w:r>
          </w:p>
        </w:tc>
        <w:tc>
          <w:tcPr>
            <w:tcW w:w="845" w:type="dxa"/>
          </w:tcPr>
          <w:p w14:paraId="0DA2BEA8" w14:textId="77777777" w:rsidR="00A16955" w:rsidRPr="00D43C26" w:rsidRDefault="00A16955" w:rsidP="00F4159F">
            <w:pPr>
              <w:spacing w:after="0"/>
            </w:pPr>
            <w:r w:rsidRPr="00D43C26">
              <w:t>Tier 1</w:t>
            </w:r>
          </w:p>
        </w:tc>
      </w:tr>
      <w:bookmarkEnd w:id="1"/>
      <w:tr w:rsidR="00A16955" w:rsidRPr="00D43C26" w14:paraId="249D4538" w14:textId="77777777" w:rsidTr="3267F38A">
        <w:tc>
          <w:tcPr>
            <w:tcW w:w="9062" w:type="dxa"/>
            <w:gridSpan w:val="6"/>
            <w:shd w:val="clear" w:color="auto" w:fill="DEEAF6" w:themeFill="accent5" w:themeFillTint="33"/>
          </w:tcPr>
          <w:p w14:paraId="369F9ED6" w14:textId="77777777" w:rsidR="00A16955" w:rsidRPr="00D43C26" w:rsidRDefault="00A16955" w:rsidP="00F4159F">
            <w:pPr>
              <w:spacing w:after="0"/>
            </w:pPr>
            <w:r>
              <w:rPr>
                <w:noProof/>
              </w:rPr>
              <w:drawing>
                <wp:inline distT="0" distB="0" distL="0" distR="0" wp14:anchorId="11E086D0" wp14:editId="724643FF">
                  <wp:extent cx="288000" cy="288000"/>
                  <wp:effectExtent l="0" t="0" r="0" b="0"/>
                  <wp:docPr id="10" name="Graphic 10"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r w:rsidRPr="3267F38A">
              <w:rPr>
                <w:b/>
                <w:bCs/>
              </w:rPr>
              <w:t>Concept</w:t>
            </w:r>
            <w:r w:rsidRPr="3267F38A">
              <w:rPr>
                <w:noProof/>
              </w:rPr>
              <w:t xml:space="preserve"> </w:t>
            </w:r>
          </w:p>
        </w:tc>
      </w:tr>
      <w:tr w:rsidR="00A16955" w:rsidRPr="00D43C26" w14:paraId="6E5D5BE6" w14:textId="77777777" w:rsidTr="3267F38A">
        <w:tc>
          <w:tcPr>
            <w:tcW w:w="9062" w:type="dxa"/>
            <w:gridSpan w:val="6"/>
          </w:tcPr>
          <w:p w14:paraId="40754824" w14:textId="64C3C135" w:rsidR="00A16955" w:rsidRPr="00D43C26" w:rsidRDefault="00A16955" w:rsidP="00F4159F">
            <w:pPr>
              <w:spacing w:after="0"/>
            </w:pPr>
            <w:r w:rsidRPr="00D43C26">
              <w:t xml:space="preserve">Trade mispricing occurs when the unit price of a given transaction differs from the normal prices </w:t>
            </w:r>
            <w:r w:rsidR="006F486D" w:rsidRPr="00D43C26">
              <w:t xml:space="preserve">(arms-length transaction) </w:t>
            </w:r>
            <w:r w:rsidRPr="00D43C26">
              <w:t>assumed by a price filter, i.e., when an abnormal price of a particular transaction is identified.</w:t>
            </w:r>
          </w:p>
        </w:tc>
      </w:tr>
      <w:tr w:rsidR="00A16955" w:rsidRPr="00D43C26" w14:paraId="000C0C8A" w14:textId="77777777" w:rsidTr="3267F38A">
        <w:tc>
          <w:tcPr>
            <w:tcW w:w="9062" w:type="dxa"/>
            <w:gridSpan w:val="6"/>
            <w:shd w:val="clear" w:color="auto" w:fill="DEEAF6" w:themeFill="accent5" w:themeFillTint="33"/>
          </w:tcPr>
          <w:p w14:paraId="0E9B8A0F" w14:textId="77777777" w:rsidR="00A16955" w:rsidRPr="00D43C26" w:rsidRDefault="00A16955" w:rsidP="00F4159F">
            <w:pPr>
              <w:spacing w:after="0"/>
            </w:pPr>
            <w:r>
              <w:rPr>
                <w:noProof/>
              </w:rPr>
              <w:drawing>
                <wp:inline distT="0" distB="0" distL="0" distR="0" wp14:anchorId="41CB7BC4" wp14:editId="0020962E">
                  <wp:extent cx="288000" cy="288000"/>
                  <wp:effectExtent l="0" t="0" r="0" b="0"/>
                  <wp:docPr id="204" name="Graphic 204"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4"/>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r w:rsidRPr="3267F38A">
              <w:rPr>
                <w:b/>
                <w:bCs/>
              </w:rPr>
              <w:t>Assumptions</w:t>
            </w:r>
          </w:p>
        </w:tc>
      </w:tr>
      <w:tr w:rsidR="00A16955" w:rsidRPr="00D43C26" w14:paraId="49C8A034" w14:textId="77777777" w:rsidTr="3267F38A">
        <w:tc>
          <w:tcPr>
            <w:tcW w:w="9062" w:type="dxa"/>
            <w:gridSpan w:val="6"/>
          </w:tcPr>
          <w:p w14:paraId="6949A840" w14:textId="77777777" w:rsidR="00A16955" w:rsidRPr="00D43C26" w:rsidRDefault="00A16955" w:rsidP="00F4159F">
            <w:pPr>
              <w:spacing w:after="0"/>
            </w:pPr>
            <w:r w:rsidRPr="00D43C26">
              <w:t>1. Prices outside price filter are attributed to mispricing.</w:t>
            </w:r>
          </w:p>
        </w:tc>
      </w:tr>
      <w:tr w:rsidR="00A16955" w:rsidRPr="00D43C26" w14:paraId="675162FE" w14:textId="77777777" w:rsidTr="3267F38A">
        <w:tc>
          <w:tcPr>
            <w:tcW w:w="4530" w:type="dxa"/>
            <w:gridSpan w:val="3"/>
            <w:shd w:val="clear" w:color="auto" w:fill="DEEAF6" w:themeFill="accent5" w:themeFillTint="33"/>
          </w:tcPr>
          <w:p w14:paraId="30B6C328" w14:textId="77777777" w:rsidR="00A16955" w:rsidRPr="00D43C26" w:rsidRDefault="00A16955" w:rsidP="00F4159F">
            <w:pPr>
              <w:spacing w:after="0"/>
            </w:pPr>
            <w:r>
              <w:rPr>
                <w:noProof/>
              </w:rPr>
              <w:drawing>
                <wp:inline distT="0" distB="0" distL="0" distR="0" wp14:anchorId="6282614A" wp14:editId="75EA885B">
                  <wp:extent cx="288000" cy="288000"/>
                  <wp:effectExtent l="0" t="0" r="0" b="0"/>
                  <wp:docPr id="205" name="Graphic 205"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5"/>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8000" cy="288000"/>
                          </a:xfrm>
                          <a:prstGeom prst="rect">
                            <a:avLst/>
                          </a:prstGeom>
                        </pic:spPr>
                      </pic:pic>
                    </a:graphicData>
                  </a:graphic>
                </wp:inline>
              </w:drawing>
            </w:r>
            <w:r w:rsidRPr="3267F38A">
              <w:rPr>
                <w:b/>
                <w:bCs/>
              </w:rPr>
              <w:t>Strengths</w:t>
            </w:r>
            <w:r>
              <w:t xml:space="preserve"> </w:t>
            </w:r>
          </w:p>
        </w:tc>
        <w:tc>
          <w:tcPr>
            <w:tcW w:w="4532" w:type="dxa"/>
            <w:gridSpan w:val="3"/>
            <w:shd w:val="clear" w:color="auto" w:fill="DEEAF6" w:themeFill="accent5" w:themeFillTint="33"/>
          </w:tcPr>
          <w:p w14:paraId="6E69AE52" w14:textId="77777777" w:rsidR="00A16955" w:rsidRPr="00D43C26" w:rsidRDefault="00A16955" w:rsidP="00F4159F">
            <w:pPr>
              <w:spacing w:after="0"/>
            </w:pPr>
            <w:r>
              <w:rPr>
                <w:noProof/>
              </w:rPr>
              <w:drawing>
                <wp:inline distT="0" distB="0" distL="0" distR="0" wp14:anchorId="7EBCE718" wp14:editId="5A1446D7">
                  <wp:extent cx="288000" cy="288000"/>
                  <wp:effectExtent l="0" t="0" r="0" b="0"/>
                  <wp:docPr id="207" name="Graphic 207"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7"/>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r w:rsidRPr="3267F38A">
              <w:rPr>
                <w:b/>
                <w:bCs/>
              </w:rPr>
              <w:t>Limitations</w:t>
            </w:r>
          </w:p>
        </w:tc>
      </w:tr>
      <w:tr w:rsidR="00A16955" w:rsidRPr="00D43C26" w14:paraId="19292F69" w14:textId="77777777" w:rsidTr="3267F38A">
        <w:tc>
          <w:tcPr>
            <w:tcW w:w="4530" w:type="dxa"/>
            <w:gridSpan w:val="3"/>
          </w:tcPr>
          <w:p w14:paraId="384F96FF" w14:textId="77777777" w:rsidR="00A16955" w:rsidRPr="00D43C26" w:rsidRDefault="00A16955" w:rsidP="00F4159F">
            <w:pPr>
              <w:spacing w:after="0"/>
            </w:pPr>
            <w:r w:rsidRPr="00D43C26">
              <w:t>1. Transaction-level microdata.</w:t>
            </w:r>
          </w:p>
          <w:p w14:paraId="60607D9D" w14:textId="77777777" w:rsidR="00A16955" w:rsidRPr="00D43C26" w:rsidRDefault="00A16955" w:rsidP="00F4159F">
            <w:pPr>
              <w:spacing w:after="0"/>
            </w:pPr>
            <w:r w:rsidRPr="00D43C26">
              <w:t>2. Does not rely on the partner’s transaction data.</w:t>
            </w:r>
          </w:p>
          <w:p w14:paraId="70BFED16" w14:textId="77777777" w:rsidR="00A16955" w:rsidRPr="00D43C26" w:rsidRDefault="00A16955" w:rsidP="00F4159F">
            <w:pPr>
              <w:spacing w:after="0"/>
            </w:pPr>
            <w:r w:rsidRPr="00D43C26">
              <w:t>3. Abundant literature and cases.</w:t>
            </w:r>
          </w:p>
        </w:tc>
        <w:tc>
          <w:tcPr>
            <w:tcW w:w="4532" w:type="dxa"/>
            <w:gridSpan w:val="3"/>
          </w:tcPr>
          <w:p w14:paraId="0DF76B44" w14:textId="77777777" w:rsidR="00A16955" w:rsidRPr="00D43C26" w:rsidRDefault="00A16955" w:rsidP="00F4159F">
            <w:pPr>
              <w:spacing w:after="0"/>
            </w:pPr>
            <w:r w:rsidRPr="00D43C26">
              <w:t>1. Statistical price filters will always find transactions with abnormal prices (endogeneity).</w:t>
            </w:r>
          </w:p>
          <w:p w14:paraId="67DAD65C" w14:textId="77777777" w:rsidR="00A16955" w:rsidRPr="00D43C26" w:rsidRDefault="00A16955" w:rsidP="00F4159F">
            <w:pPr>
              <w:spacing w:after="0"/>
            </w:pPr>
            <w:r w:rsidRPr="00D43C26">
              <w:t>2. Heterogeneity of products even at transaction-level.</w:t>
            </w:r>
          </w:p>
          <w:p w14:paraId="515E6C46" w14:textId="77777777" w:rsidR="00A16955" w:rsidRPr="00D43C26" w:rsidRDefault="00A16955" w:rsidP="00F4159F">
            <w:pPr>
              <w:spacing w:after="0"/>
            </w:pPr>
            <w:r w:rsidRPr="00D43C26">
              <w:t>3. Inability to identify legitimate unusual prices, e.g. lower prices offered by long-term contracts.</w:t>
            </w:r>
          </w:p>
          <w:p w14:paraId="021DD77C" w14:textId="77777777" w:rsidR="00A16955" w:rsidRPr="00D43C26" w:rsidRDefault="00A16955" w:rsidP="00F4159F">
            <w:pPr>
              <w:spacing w:after="0"/>
            </w:pPr>
            <w:r w:rsidRPr="00D43C26">
              <w:t>4. Refers only to mispricing</w:t>
            </w:r>
            <w:r w:rsidR="006F486D" w:rsidRPr="00D43C26">
              <w:t xml:space="preserve"> (as a subset of misinvoicing)</w:t>
            </w:r>
            <w:r w:rsidRPr="00D43C26">
              <w:t xml:space="preserve">. </w:t>
            </w:r>
          </w:p>
          <w:p w14:paraId="2E6CA601" w14:textId="2296D636" w:rsidR="006F486D" w:rsidRPr="00D43C26" w:rsidRDefault="006F486D" w:rsidP="00F4159F">
            <w:pPr>
              <w:spacing w:after="0"/>
            </w:pPr>
            <w:r w:rsidRPr="00D43C26">
              <w:t>5. Overall weakness on recording of quantity information.</w:t>
            </w:r>
          </w:p>
        </w:tc>
      </w:tr>
      <w:tr w:rsidR="00A16955" w:rsidRPr="00D43C26" w14:paraId="326B9F48" w14:textId="77777777" w:rsidTr="3267F38A">
        <w:tc>
          <w:tcPr>
            <w:tcW w:w="4530" w:type="dxa"/>
            <w:gridSpan w:val="3"/>
            <w:shd w:val="clear" w:color="auto" w:fill="DEEAF6" w:themeFill="accent5" w:themeFillTint="33"/>
          </w:tcPr>
          <w:p w14:paraId="5C0C87B7" w14:textId="77777777" w:rsidR="00A16955" w:rsidRPr="00D43C26" w:rsidRDefault="00A16955" w:rsidP="00F4159F">
            <w:pPr>
              <w:spacing w:after="0"/>
            </w:pPr>
            <w:r>
              <w:rPr>
                <w:noProof/>
              </w:rPr>
              <w:drawing>
                <wp:inline distT="0" distB="0" distL="0" distR="0" wp14:anchorId="35C3E797" wp14:editId="4B04DFB5">
                  <wp:extent cx="288000" cy="288000"/>
                  <wp:effectExtent l="0" t="0" r="0" b="0"/>
                  <wp:docPr id="208" name="Graphic 208"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8"/>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r w:rsidRPr="3267F38A">
              <w:rPr>
                <w:b/>
                <w:bCs/>
              </w:rPr>
              <w:t>Data sources</w:t>
            </w:r>
          </w:p>
        </w:tc>
        <w:tc>
          <w:tcPr>
            <w:tcW w:w="4532" w:type="dxa"/>
            <w:gridSpan w:val="3"/>
            <w:shd w:val="clear" w:color="auto" w:fill="DEEAF6" w:themeFill="accent5" w:themeFillTint="33"/>
          </w:tcPr>
          <w:p w14:paraId="67BF56A3" w14:textId="77777777" w:rsidR="00A16955" w:rsidRPr="00D43C26" w:rsidRDefault="00A16955" w:rsidP="00F4159F">
            <w:pPr>
              <w:spacing w:after="0"/>
            </w:pPr>
            <w:r>
              <w:rPr>
                <w:noProof/>
              </w:rPr>
              <w:drawing>
                <wp:inline distT="0" distB="0" distL="0" distR="0" wp14:anchorId="6A9C6531" wp14:editId="16620515">
                  <wp:extent cx="288000" cy="288000"/>
                  <wp:effectExtent l="0" t="0" r="0" b="0"/>
                  <wp:docPr id="209" name="Graphic 209"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9"/>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r w:rsidRPr="3267F38A">
              <w:rPr>
                <w:b/>
                <w:bCs/>
              </w:rPr>
              <w:t>Mitigation of limitations</w:t>
            </w:r>
            <w:r>
              <w:t xml:space="preserve"> </w:t>
            </w:r>
          </w:p>
        </w:tc>
      </w:tr>
      <w:tr w:rsidR="00A16955" w:rsidRPr="00D43C26" w14:paraId="03131CAD" w14:textId="77777777" w:rsidTr="3267F38A">
        <w:tc>
          <w:tcPr>
            <w:tcW w:w="4530" w:type="dxa"/>
            <w:gridSpan w:val="3"/>
          </w:tcPr>
          <w:p w14:paraId="65CA4E7E" w14:textId="1F6676E1" w:rsidR="00A16955" w:rsidRPr="00D43C26" w:rsidRDefault="00A16955" w:rsidP="00F4159F">
            <w:pPr>
              <w:spacing w:after="0"/>
            </w:pPr>
            <w:r w:rsidRPr="00D43C26">
              <w:t xml:space="preserve">1. Transaction-level data from </w:t>
            </w:r>
            <w:r w:rsidR="00380270" w:rsidRPr="00D43C26">
              <w:t>C</w:t>
            </w:r>
            <w:r w:rsidRPr="00D43C26">
              <w:t xml:space="preserve">ustoms authorities. Important to use data before adjustments to correct for abnormal prices for statistical purposes take place. </w:t>
            </w:r>
          </w:p>
          <w:p w14:paraId="162202F9" w14:textId="77777777" w:rsidR="00A16955" w:rsidRPr="00D43C26" w:rsidRDefault="00A16955" w:rsidP="00F4159F">
            <w:pPr>
              <w:spacing w:after="0"/>
            </w:pPr>
            <w:r w:rsidRPr="00D43C26">
              <w:t>2. Free-market commodity prices from international sources (UNCTAD, World Bank).</w:t>
            </w:r>
          </w:p>
          <w:p w14:paraId="1D32209A" w14:textId="32EC4CBA" w:rsidR="0023450F" w:rsidRPr="00D43C26" w:rsidRDefault="0023450F" w:rsidP="00F4159F">
            <w:pPr>
              <w:spacing w:after="0"/>
            </w:pPr>
            <w:r w:rsidRPr="00D43C26">
              <w:t>3. Ranges of standard unit values by HS sub-headings (United Nations Comtrade).</w:t>
            </w:r>
          </w:p>
        </w:tc>
        <w:tc>
          <w:tcPr>
            <w:tcW w:w="4532" w:type="dxa"/>
            <w:gridSpan w:val="3"/>
          </w:tcPr>
          <w:p w14:paraId="27196BD8" w14:textId="39C0E33D" w:rsidR="00A16955" w:rsidRPr="00D43C26" w:rsidRDefault="00A16955" w:rsidP="00F4159F">
            <w:pPr>
              <w:spacing w:after="0"/>
            </w:pPr>
            <w:r w:rsidRPr="00D43C26">
              <w:t xml:space="preserve">1. Set price filters specific for </w:t>
            </w:r>
            <w:r w:rsidR="006F486D" w:rsidRPr="00D43C26">
              <w:t xml:space="preserve">trade determinants, such as </w:t>
            </w:r>
            <w:r w:rsidRPr="00D43C26">
              <w:t>commodity, partner, periods</w:t>
            </w:r>
            <w:r w:rsidR="006F486D" w:rsidRPr="00D43C26">
              <w:t>, mode of transport</w:t>
            </w:r>
            <w:r w:rsidRPr="00D43C26">
              <w:t xml:space="preserve">. </w:t>
            </w:r>
          </w:p>
          <w:p w14:paraId="154B0447" w14:textId="77777777" w:rsidR="00A16955" w:rsidRPr="00D43C26" w:rsidRDefault="00A16955" w:rsidP="00F4159F">
            <w:pPr>
              <w:spacing w:after="0"/>
            </w:pPr>
            <w:r w:rsidRPr="00D43C26">
              <w:t xml:space="preserve">2. Use free-market prices for the price filter. </w:t>
            </w:r>
          </w:p>
          <w:p w14:paraId="79EFE437" w14:textId="6F99BE28" w:rsidR="00A16955" w:rsidRPr="00D43C26" w:rsidRDefault="00A16955" w:rsidP="00F4159F">
            <w:pPr>
              <w:spacing w:after="0"/>
            </w:pPr>
            <w:r w:rsidRPr="00D43C26">
              <w:t xml:space="preserve">3. Involve </w:t>
            </w:r>
            <w:r w:rsidR="006F486D" w:rsidRPr="00D43C26">
              <w:t xml:space="preserve">and consult </w:t>
            </w:r>
            <w:r w:rsidRPr="00D43C26">
              <w:t>experts</w:t>
            </w:r>
            <w:r w:rsidR="006F486D" w:rsidRPr="00D43C26">
              <w:t>, including from Customs, on detected outliers (whether or not there is an explanation)</w:t>
            </w:r>
            <w:r w:rsidRPr="00D43C26">
              <w:t xml:space="preserve">. </w:t>
            </w:r>
          </w:p>
        </w:tc>
      </w:tr>
      <w:tr w:rsidR="00A16955" w:rsidRPr="00D43C26" w14:paraId="1ED04F58" w14:textId="77777777" w:rsidTr="3267F38A">
        <w:tc>
          <w:tcPr>
            <w:tcW w:w="9062" w:type="dxa"/>
            <w:gridSpan w:val="6"/>
            <w:shd w:val="clear" w:color="auto" w:fill="DEEAF6" w:themeFill="accent5" w:themeFillTint="33"/>
          </w:tcPr>
          <w:p w14:paraId="0F3FD4B8" w14:textId="77777777" w:rsidR="00A16955" w:rsidRPr="00D43C26" w:rsidRDefault="00A16955" w:rsidP="00F4159F">
            <w:pPr>
              <w:spacing w:after="0"/>
            </w:pPr>
            <w:r>
              <w:rPr>
                <w:noProof/>
              </w:rPr>
              <w:drawing>
                <wp:inline distT="0" distB="0" distL="0" distR="0" wp14:anchorId="77EF55CE" wp14:editId="6992BDF3">
                  <wp:extent cx="288000" cy="288000"/>
                  <wp:effectExtent l="0" t="0" r="0" b="0"/>
                  <wp:docPr id="23" name="Graphic 23"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r w:rsidRPr="3267F38A">
              <w:rPr>
                <w:b/>
                <w:bCs/>
              </w:rPr>
              <w:t>Calculation</w:t>
            </w:r>
            <w:r w:rsidRPr="3267F38A">
              <w:rPr>
                <w:noProof/>
              </w:rPr>
              <w:t xml:space="preserve"> </w:t>
            </w:r>
          </w:p>
        </w:tc>
      </w:tr>
      <w:tr w:rsidR="00A16955" w:rsidRPr="00D43C26" w14:paraId="683770E1" w14:textId="77777777" w:rsidTr="3267F38A">
        <w:tc>
          <w:tcPr>
            <w:tcW w:w="9062" w:type="dxa"/>
            <w:gridSpan w:val="6"/>
          </w:tcPr>
          <w:p w14:paraId="3880ABCD" w14:textId="77777777" w:rsidR="00A16955" w:rsidRPr="00D43C26" w:rsidRDefault="00A16955" w:rsidP="00F4159F">
            <w:pPr>
              <w:spacing w:after="0"/>
            </w:pPr>
            <w:r w:rsidRPr="00D43C26">
              <w:t>1. Exploratory data analysis and preparation of the data (removing outliers).</w:t>
            </w:r>
          </w:p>
          <w:p w14:paraId="3B4BA03B" w14:textId="77777777" w:rsidR="00A16955" w:rsidRPr="00D43C26" w:rsidRDefault="00A16955" w:rsidP="00F4159F">
            <w:pPr>
              <w:spacing w:after="0"/>
            </w:pPr>
            <w:r w:rsidRPr="00D43C26">
              <w:t xml:space="preserve">2. Include experts. </w:t>
            </w:r>
          </w:p>
          <w:p w14:paraId="5F4EB938" w14:textId="77777777" w:rsidR="00A16955" w:rsidRPr="00D43C26" w:rsidRDefault="00A16955" w:rsidP="00F4159F">
            <w:pPr>
              <w:spacing w:after="0"/>
            </w:pPr>
            <w:r w:rsidRPr="00D43C26">
              <w:t>3. Define the price filter(s).</w:t>
            </w:r>
          </w:p>
          <w:p w14:paraId="6A24859D" w14:textId="77777777" w:rsidR="00A16955" w:rsidRPr="00D43C26" w:rsidRDefault="00A16955" w:rsidP="00F4159F">
            <w:pPr>
              <w:spacing w:after="0"/>
            </w:pPr>
            <w:r w:rsidRPr="00D43C26">
              <w:t>4. Calculate amount of over- and underpricing.</w:t>
            </w:r>
          </w:p>
          <w:p w14:paraId="0AAD8BF7" w14:textId="77777777" w:rsidR="00A16955" w:rsidRPr="00D43C26" w:rsidRDefault="00A16955" w:rsidP="00F4159F">
            <w:pPr>
              <w:spacing w:after="0"/>
            </w:pPr>
            <w:r w:rsidRPr="00D43C26">
              <w:t>5. Aggregate to obtain inward, outward and total IFFs.</w:t>
            </w:r>
          </w:p>
          <w:p w14:paraId="1626C3EF" w14:textId="17CF66F5" w:rsidR="00447059" w:rsidRPr="00D43C26" w:rsidRDefault="00447059" w:rsidP="00F4159F">
            <w:pPr>
              <w:spacing w:after="0"/>
            </w:pPr>
          </w:p>
        </w:tc>
      </w:tr>
      <w:tr w:rsidR="00A16955" w:rsidRPr="00D43C26" w14:paraId="365D35D8" w14:textId="77777777" w:rsidTr="3267F38A">
        <w:tc>
          <w:tcPr>
            <w:tcW w:w="9062" w:type="dxa"/>
            <w:gridSpan w:val="6"/>
            <w:shd w:val="clear" w:color="auto" w:fill="DEEAF6" w:themeFill="accent5" w:themeFillTint="33"/>
          </w:tcPr>
          <w:p w14:paraId="31F24566" w14:textId="77777777" w:rsidR="00A16955" w:rsidRPr="00D43C26" w:rsidRDefault="00A16955" w:rsidP="00F4159F">
            <w:pPr>
              <w:spacing w:after="0"/>
            </w:pPr>
            <w:r>
              <w:rPr>
                <w:noProof/>
              </w:rPr>
              <w:lastRenderedPageBreak/>
              <w:drawing>
                <wp:inline distT="0" distB="0" distL="0" distR="0" wp14:anchorId="459AA7C1" wp14:editId="08BA9876">
                  <wp:extent cx="288000" cy="288000"/>
                  <wp:effectExtent l="0" t="0" r="0" b="0"/>
                  <wp:docPr id="24" name="Graphic 24"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r w:rsidRPr="3267F38A">
              <w:rPr>
                <w:b/>
                <w:bCs/>
              </w:rPr>
              <w:t>Results</w:t>
            </w:r>
          </w:p>
        </w:tc>
      </w:tr>
      <w:tr w:rsidR="00A16955" w:rsidRPr="00D43C26" w14:paraId="38541DD5" w14:textId="77777777" w:rsidTr="3267F38A">
        <w:tc>
          <w:tcPr>
            <w:tcW w:w="9062" w:type="dxa"/>
            <w:gridSpan w:val="6"/>
          </w:tcPr>
          <w:p w14:paraId="30E76681" w14:textId="750AF6B0" w:rsidR="00A16955" w:rsidRPr="00D43C26" w:rsidRDefault="00A16955" w:rsidP="00F4159F">
            <w:pPr>
              <w:spacing w:after="0"/>
            </w:pPr>
            <w:r w:rsidRPr="00D43C26">
              <w:t>Results are presented for a total economy on an annual level: inward IFFs</w:t>
            </w:r>
            <w:r w:rsidR="002560FE">
              <w:t xml:space="preserve"> and</w:t>
            </w:r>
            <w:r w:rsidRPr="00D43C26">
              <w:t xml:space="preserve"> outward IFFs.</w:t>
            </w:r>
          </w:p>
        </w:tc>
      </w:tr>
      <w:tr w:rsidR="00A16955" w:rsidRPr="00D43C26" w14:paraId="15C2AF40" w14:textId="77777777" w:rsidTr="3267F38A">
        <w:tc>
          <w:tcPr>
            <w:tcW w:w="9062" w:type="dxa"/>
            <w:gridSpan w:val="6"/>
            <w:shd w:val="clear" w:color="auto" w:fill="DEEAF6" w:themeFill="accent5" w:themeFillTint="33"/>
          </w:tcPr>
          <w:p w14:paraId="0E094C59" w14:textId="77777777" w:rsidR="00A16955" w:rsidRPr="00D43C26" w:rsidRDefault="00A16955" w:rsidP="00F4159F">
            <w:pPr>
              <w:spacing w:after="0"/>
            </w:pPr>
            <w:r>
              <w:rPr>
                <w:noProof/>
              </w:rPr>
              <w:drawing>
                <wp:inline distT="0" distB="0" distL="0" distR="0" wp14:anchorId="1B061EC9" wp14:editId="5C1FCF32">
                  <wp:extent cx="288000" cy="288000"/>
                  <wp:effectExtent l="0" t="0" r="0" b="0"/>
                  <wp:docPr id="211" name="Graphic 211"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8000" cy="288000"/>
                          </a:xfrm>
                          <a:prstGeom prst="rect">
                            <a:avLst/>
                          </a:prstGeom>
                        </pic:spPr>
                      </pic:pic>
                    </a:graphicData>
                  </a:graphic>
                </wp:inline>
              </w:drawing>
            </w:r>
            <w:r w:rsidRPr="3267F38A">
              <w:rPr>
                <w:b/>
                <w:bCs/>
              </w:rPr>
              <w:t>Special note(s)</w:t>
            </w:r>
            <w:r w:rsidRPr="3267F38A">
              <w:rPr>
                <w:noProof/>
              </w:rPr>
              <w:t xml:space="preserve"> </w:t>
            </w:r>
          </w:p>
        </w:tc>
      </w:tr>
      <w:tr w:rsidR="00A16955" w:rsidRPr="00D43C26" w14:paraId="272BADA0" w14:textId="77777777" w:rsidTr="3267F38A">
        <w:tc>
          <w:tcPr>
            <w:tcW w:w="9062" w:type="dxa"/>
            <w:gridSpan w:val="6"/>
          </w:tcPr>
          <w:p w14:paraId="363C38FC" w14:textId="77777777" w:rsidR="00A16955" w:rsidRPr="00D43C26" w:rsidRDefault="00A16955" w:rsidP="00F4159F">
            <w:pPr>
              <w:spacing w:after="0"/>
            </w:pPr>
            <w:r w:rsidRPr="00D43C26">
              <w:t>Close collaboration with statistical units at Customs authorities.</w:t>
            </w:r>
          </w:p>
          <w:p w14:paraId="68C9F793" w14:textId="52A068D9" w:rsidR="00F30E90" w:rsidRPr="00D43C26" w:rsidRDefault="00F30E90" w:rsidP="00F4159F">
            <w:pPr>
              <w:spacing w:after="0"/>
            </w:pPr>
            <w:r w:rsidRPr="00D43C26">
              <w:t xml:space="preserve">If a high reliance on triangular operations through offshore intermediary entities located in low-tax jurisdictions is present, the price filter should not be statistically estimated (downward bias).  </w:t>
            </w:r>
          </w:p>
        </w:tc>
      </w:tr>
      <w:tr w:rsidR="00A16955" w:rsidRPr="00D43C26" w14:paraId="017DF631" w14:textId="77777777" w:rsidTr="3267F38A">
        <w:tc>
          <w:tcPr>
            <w:tcW w:w="9062" w:type="dxa"/>
            <w:gridSpan w:val="6"/>
            <w:shd w:val="clear" w:color="auto" w:fill="DEEAF6" w:themeFill="accent5" w:themeFillTint="33"/>
          </w:tcPr>
          <w:p w14:paraId="51B0AA31" w14:textId="77777777" w:rsidR="00A16955" w:rsidRPr="00D43C26" w:rsidRDefault="00A16955" w:rsidP="00F4159F">
            <w:pPr>
              <w:spacing w:after="0"/>
            </w:pPr>
            <w:r>
              <w:rPr>
                <w:noProof/>
              </w:rPr>
              <w:drawing>
                <wp:inline distT="0" distB="0" distL="0" distR="0" wp14:anchorId="77375EFB" wp14:editId="2237B579">
                  <wp:extent cx="288000" cy="288000"/>
                  <wp:effectExtent l="0" t="0" r="0" b="0"/>
                  <wp:docPr id="213" name="Graphic 213"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3"/>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r w:rsidRPr="3267F38A">
              <w:rPr>
                <w:b/>
                <w:bCs/>
              </w:rPr>
              <w:t>Case studies</w:t>
            </w:r>
          </w:p>
        </w:tc>
      </w:tr>
      <w:tr w:rsidR="00A16955" w:rsidRPr="00D43C26" w14:paraId="5BAA74B3" w14:textId="77777777" w:rsidTr="3267F38A">
        <w:tc>
          <w:tcPr>
            <w:tcW w:w="9062" w:type="dxa"/>
            <w:gridSpan w:val="6"/>
          </w:tcPr>
          <w:p w14:paraId="585A67DA" w14:textId="558F0043" w:rsidR="00A16955" w:rsidRPr="00D43C26" w:rsidRDefault="00A16955" w:rsidP="00F4159F">
            <w:pPr>
              <w:spacing w:after="0"/>
            </w:pPr>
            <w:r w:rsidRPr="00D43C26">
              <w:t>1. The basic treatment of SARS data using three passes (WCO, 2018).</w:t>
            </w:r>
          </w:p>
          <w:p w14:paraId="1F4EFCED" w14:textId="6A09F4D0" w:rsidR="00A16955" w:rsidRPr="00D43C26" w:rsidRDefault="00A16955" w:rsidP="00F4159F">
            <w:pPr>
              <w:spacing w:after="0"/>
            </w:pPr>
            <w:r w:rsidRPr="00D43C26">
              <w:t>2. Identifying national experts to support PFM application (Ahene-Codjoe</w:t>
            </w:r>
            <w:r w:rsidR="007948AF" w:rsidRPr="00D43C26">
              <w:t xml:space="preserve"> et al.</w:t>
            </w:r>
            <w:r w:rsidRPr="00D43C26">
              <w:t>, 2020).</w:t>
            </w:r>
          </w:p>
          <w:p w14:paraId="3449D02A" w14:textId="1B01ADAD" w:rsidR="00A16955" w:rsidRPr="00D43C26" w:rsidRDefault="00A16955" w:rsidP="00F4159F">
            <w:pPr>
              <w:spacing w:after="0"/>
            </w:pPr>
            <w:r w:rsidRPr="00D43C26">
              <w:t>3. Calculating benchmark prices for gold (Carbonnier and Mehrotra, 2020).</w:t>
            </w:r>
          </w:p>
          <w:p w14:paraId="0EC39A5A" w14:textId="77777777" w:rsidR="00A16955" w:rsidRPr="00D43C26" w:rsidRDefault="00A16955" w:rsidP="00F4159F">
            <w:pPr>
              <w:spacing w:after="0"/>
            </w:pPr>
            <w:r w:rsidRPr="00D43C26">
              <w:t>4. PFM for the Soya Bean exports in Brazil (Amaral and Barcarolo, 2020).</w:t>
            </w:r>
          </w:p>
          <w:p w14:paraId="3CA68789" w14:textId="38BA2D83" w:rsidR="00A16955" w:rsidRPr="00D43C26" w:rsidRDefault="00A16955" w:rsidP="00750A01">
            <w:pPr>
              <w:spacing w:after="0"/>
            </w:pPr>
            <w:r w:rsidRPr="00D43C26">
              <w:t>5. Trade misinvoicing in copper products: a case study of Chile</w:t>
            </w:r>
            <w:r w:rsidR="00750A01">
              <w:t xml:space="preserve"> </w:t>
            </w:r>
            <w:r w:rsidRPr="00D43C26">
              <w:t>and Peru (Hanni and Podestá, 2019).</w:t>
            </w:r>
          </w:p>
        </w:tc>
      </w:tr>
    </w:tbl>
    <w:p w14:paraId="354BEBD7" w14:textId="77777777" w:rsidR="00A16955" w:rsidRPr="00D43C26" w:rsidRDefault="00A16955" w:rsidP="00A16955"/>
    <w:p w14:paraId="3CA377C3" w14:textId="77777777" w:rsidR="00A16955" w:rsidRPr="00D43C26" w:rsidRDefault="00A16955" w:rsidP="00A16955"/>
    <w:p w14:paraId="663659D1" w14:textId="77777777" w:rsidR="00A16955" w:rsidRPr="00D43C26" w:rsidRDefault="00A16955" w:rsidP="00A16955">
      <w:r w:rsidRPr="00D43C2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A16955" w:rsidRPr="00D43C26" w14:paraId="29A7FDF0" w14:textId="77777777" w:rsidTr="3267F38A">
        <w:tc>
          <w:tcPr>
            <w:tcW w:w="2265" w:type="dxa"/>
            <w:tcBorders>
              <w:right w:val="nil"/>
            </w:tcBorders>
            <w:shd w:val="clear" w:color="auto" w:fill="DEEAF6" w:themeFill="accent5" w:themeFillTint="33"/>
          </w:tcPr>
          <w:p w14:paraId="4E2088EE" w14:textId="77777777" w:rsidR="00A16955" w:rsidRPr="00D43C26" w:rsidRDefault="00A16955" w:rsidP="00F4159F">
            <w:pPr>
              <w:spacing w:after="0"/>
            </w:pPr>
            <w:r w:rsidRPr="00D43C26">
              <w:rPr>
                <w:b/>
                <w:bCs/>
              </w:rPr>
              <w:lastRenderedPageBreak/>
              <w:t>Method fact sheet</w:t>
            </w:r>
          </w:p>
        </w:tc>
        <w:tc>
          <w:tcPr>
            <w:tcW w:w="6797" w:type="dxa"/>
            <w:gridSpan w:val="5"/>
            <w:tcBorders>
              <w:left w:val="nil"/>
            </w:tcBorders>
            <w:shd w:val="clear" w:color="auto" w:fill="DEEAF6" w:themeFill="accent5" w:themeFillTint="33"/>
          </w:tcPr>
          <w:p w14:paraId="513202C7" w14:textId="436DC2D9" w:rsidR="00A16955" w:rsidRPr="00D43C26" w:rsidRDefault="00A16955" w:rsidP="00F4159F">
            <w:pPr>
              <w:spacing w:after="0"/>
              <w:jc w:val="right"/>
              <w:rPr>
                <w:b/>
                <w:bCs/>
              </w:rPr>
            </w:pPr>
            <w:r w:rsidRPr="00D43C26">
              <w:rPr>
                <w:b/>
                <w:bCs/>
              </w:rPr>
              <w:t xml:space="preserve">METHODOLOGICAL GUIDELINES </w:t>
            </w:r>
            <w:r w:rsidR="00A1784C">
              <w:rPr>
                <w:b/>
                <w:bCs/>
              </w:rPr>
              <w:t>TO MEASURE</w:t>
            </w:r>
            <w:r w:rsidR="00A1784C" w:rsidRPr="00D43C26">
              <w:rPr>
                <w:b/>
                <w:bCs/>
              </w:rPr>
              <w:t xml:space="preserve"> </w:t>
            </w:r>
          </w:p>
          <w:p w14:paraId="06A170DA" w14:textId="77777777" w:rsidR="00A16955" w:rsidRPr="00D43C26" w:rsidRDefault="00A16955" w:rsidP="00F4159F">
            <w:pPr>
              <w:spacing w:after="0"/>
              <w:jc w:val="right"/>
              <w:rPr>
                <w:b/>
                <w:bCs/>
              </w:rPr>
            </w:pPr>
            <w:r w:rsidRPr="00D43C26">
              <w:rPr>
                <w:b/>
                <w:bCs/>
              </w:rPr>
              <w:t xml:space="preserve">TAX AND COMMERCIAL ILLICIT FINANCIAL FLOWS </w:t>
            </w:r>
          </w:p>
          <w:p w14:paraId="7A730587" w14:textId="77777777" w:rsidR="00A16955" w:rsidRPr="00D43C26" w:rsidRDefault="00A16955" w:rsidP="00F4159F">
            <w:pPr>
              <w:spacing w:after="0"/>
              <w:jc w:val="right"/>
              <w:rPr>
                <w:b/>
                <w:bCs/>
                <w:sz w:val="20"/>
                <w:szCs w:val="20"/>
              </w:rPr>
            </w:pPr>
            <w:r w:rsidRPr="00D43C26">
              <w:rPr>
                <w:b/>
                <w:bCs/>
                <w:sz w:val="20"/>
                <w:szCs w:val="20"/>
              </w:rPr>
              <w:t>Methods for pilot testing</w:t>
            </w:r>
          </w:p>
        </w:tc>
      </w:tr>
      <w:tr w:rsidR="00A16955" w:rsidRPr="00D43C26" w14:paraId="0603DA1B" w14:textId="77777777" w:rsidTr="3267F38A">
        <w:tc>
          <w:tcPr>
            <w:tcW w:w="2405" w:type="dxa"/>
            <w:gridSpan w:val="2"/>
            <w:shd w:val="clear" w:color="auto" w:fill="DEEAF6" w:themeFill="accent5" w:themeFillTint="33"/>
          </w:tcPr>
          <w:p w14:paraId="2CC59743" w14:textId="77777777" w:rsidR="00A16955" w:rsidRPr="00D43C26" w:rsidRDefault="00A16955" w:rsidP="00F4159F">
            <w:pPr>
              <w:spacing w:after="0"/>
              <w:rPr>
                <w:b/>
                <w:bCs/>
              </w:rPr>
            </w:pPr>
            <w:r w:rsidRPr="00D43C26">
              <w:rPr>
                <w:b/>
                <w:bCs/>
              </w:rPr>
              <w:t>Method title</w:t>
            </w:r>
          </w:p>
        </w:tc>
        <w:tc>
          <w:tcPr>
            <w:tcW w:w="6657" w:type="dxa"/>
            <w:gridSpan w:val="4"/>
          </w:tcPr>
          <w:p w14:paraId="3348AC39" w14:textId="7C5AA66A" w:rsidR="00A16955" w:rsidRPr="00D43C26" w:rsidRDefault="00A16955" w:rsidP="00F4159F">
            <w:pPr>
              <w:spacing w:after="0"/>
            </w:pPr>
            <w:r w:rsidRPr="00D43C26">
              <w:t xml:space="preserve">#3 </w:t>
            </w:r>
            <w:r w:rsidR="002D15B5" w:rsidRPr="00D43C26">
              <w:t>Global distribution of MNEs’ profits and corporate taxes</w:t>
            </w:r>
          </w:p>
        </w:tc>
      </w:tr>
      <w:tr w:rsidR="00A16955" w:rsidRPr="00D43C26" w14:paraId="036F0CE7" w14:textId="77777777" w:rsidTr="3267F38A">
        <w:tc>
          <w:tcPr>
            <w:tcW w:w="2405" w:type="dxa"/>
            <w:gridSpan w:val="2"/>
            <w:shd w:val="clear" w:color="auto" w:fill="DEEAF6" w:themeFill="accent5" w:themeFillTint="33"/>
          </w:tcPr>
          <w:p w14:paraId="5CD2F7A7" w14:textId="77777777" w:rsidR="00A16955" w:rsidRPr="00D43C26" w:rsidRDefault="00A16955" w:rsidP="00F4159F">
            <w:pPr>
              <w:spacing w:after="0"/>
              <w:rPr>
                <w:b/>
                <w:bCs/>
              </w:rPr>
            </w:pPr>
            <w:r w:rsidRPr="00D43C26">
              <w:rPr>
                <w:b/>
                <w:bCs/>
              </w:rPr>
              <w:t>Alternative title(s)</w:t>
            </w:r>
          </w:p>
        </w:tc>
        <w:tc>
          <w:tcPr>
            <w:tcW w:w="6657" w:type="dxa"/>
            <w:gridSpan w:val="4"/>
          </w:tcPr>
          <w:p w14:paraId="2473A433" w14:textId="120164E8" w:rsidR="00A16955" w:rsidRPr="00D43C26" w:rsidRDefault="002D15B5" w:rsidP="00F4159F">
            <w:pPr>
              <w:spacing w:after="0"/>
            </w:pPr>
            <w:r w:rsidRPr="00D43C26">
              <w:t>Semi-elasticity model</w:t>
            </w:r>
          </w:p>
        </w:tc>
      </w:tr>
      <w:tr w:rsidR="00A16955" w:rsidRPr="00D43C26" w14:paraId="486928A2" w14:textId="77777777" w:rsidTr="3267F38A">
        <w:tc>
          <w:tcPr>
            <w:tcW w:w="2405" w:type="dxa"/>
            <w:gridSpan w:val="2"/>
            <w:shd w:val="clear" w:color="auto" w:fill="DEEAF6" w:themeFill="accent5" w:themeFillTint="33"/>
          </w:tcPr>
          <w:p w14:paraId="564E9B43" w14:textId="77777777" w:rsidR="00A16955" w:rsidRPr="00D43C26" w:rsidRDefault="00A16955" w:rsidP="00F4159F">
            <w:pPr>
              <w:spacing w:after="0"/>
              <w:rPr>
                <w:b/>
                <w:bCs/>
              </w:rPr>
            </w:pPr>
            <w:r w:rsidRPr="00D43C26">
              <w:rPr>
                <w:b/>
                <w:bCs/>
              </w:rPr>
              <w:t>Method group</w:t>
            </w:r>
          </w:p>
        </w:tc>
        <w:tc>
          <w:tcPr>
            <w:tcW w:w="6657" w:type="dxa"/>
            <w:gridSpan w:val="4"/>
          </w:tcPr>
          <w:p w14:paraId="20A72CAA" w14:textId="6095087C" w:rsidR="00A16955" w:rsidRPr="00D43C26" w:rsidRDefault="00E06D1A" w:rsidP="00F4159F">
            <w:pPr>
              <w:spacing w:after="0"/>
            </w:pPr>
            <w:r>
              <w:t>Aggressive</w:t>
            </w:r>
            <w:r w:rsidR="00A16955" w:rsidRPr="00D43C26">
              <w:t xml:space="preserve"> tax avoidance</w:t>
            </w:r>
            <w:r>
              <w:t xml:space="preserve"> or profit shifting</w:t>
            </w:r>
            <w:r w:rsidR="00A16955" w:rsidRPr="00D43C26">
              <w:t xml:space="preserve"> by MNEs</w:t>
            </w:r>
          </w:p>
        </w:tc>
      </w:tr>
      <w:tr w:rsidR="00A16955" w:rsidRPr="00D43C26" w14:paraId="20951A4D" w14:textId="77777777" w:rsidTr="3267F38A">
        <w:tc>
          <w:tcPr>
            <w:tcW w:w="2405" w:type="dxa"/>
            <w:gridSpan w:val="2"/>
            <w:shd w:val="clear" w:color="auto" w:fill="DEEAF6" w:themeFill="accent5" w:themeFillTint="33"/>
          </w:tcPr>
          <w:p w14:paraId="0548B582" w14:textId="210C944A" w:rsidR="00A16955" w:rsidRPr="00D43C26" w:rsidRDefault="00A16955" w:rsidP="00F4159F">
            <w:pPr>
              <w:spacing w:after="0"/>
              <w:rPr>
                <w:b/>
                <w:bCs/>
              </w:rPr>
            </w:pPr>
            <w:r w:rsidRPr="00D43C26">
              <w:rPr>
                <w:b/>
                <w:bCs/>
              </w:rPr>
              <w:t xml:space="preserve">Targeted IFFs </w:t>
            </w:r>
            <w:r w:rsidR="001306A4" w:rsidRPr="00D43C26">
              <w:rPr>
                <w:b/>
                <w:bCs/>
              </w:rPr>
              <w:t>flow type</w:t>
            </w:r>
          </w:p>
        </w:tc>
        <w:tc>
          <w:tcPr>
            <w:tcW w:w="3827" w:type="dxa"/>
            <w:gridSpan w:val="2"/>
          </w:tcPr>
          <w:p w14:paraId="5167E9DB" w14:textId="27EEF165" w:rsidR="00A16955" w:rsidRPr="00D43C26" w:rsidRDefault="001306A4" w:rsidP="00F4159F">
            <w:pPr>
              <w:spacing w:after="0"/>
            </w:pPr>
            <w:r w:rsidRPr="00D43C26">
              <w:t>F</w:t>
            </w:r>
            <w:r w:rsidR="00A16955" w:rsidRPr="00D43C26">
              <w:t>3-</w:t>
            </w:r>
            <w:r w:rsidRPr="00D43C26">
              <w:t>F</w:t>
            </w:r>
            <w:r w:rsidR="00FE776E">
              <w:t>5</w:t>
            </w:r>
            <w:r w:rsidR="00A16955" w:rsidRPr="00D43C26">
              <w:t xml:space="preserve"> Profit shifting</w:t>
            </w:r>
          </w:p>
        </w:tc>
        <w:tc>
          <w:tcPr>
            <w:tcW w:w="1985" w:type="dxa"/>
            <w:shd w:val="clear" w:color="auto" w:fill="DEEAF6" w:themeFill="accent5" w:themeFillTint="33"/>
          </w:tcPr>
          <w:p w14:paraId="1A836827" w14:textId="78951382" w:rsidR="00A16955" w:rsidRPr="00D43C26" w:rsidRDefault="00A16955" w:rsidP="00F4159F">
            <w:pPr>
              <w:spacing w:after="0"/>
              <w:rPr>
                <w:b/>
                <w:bCs/>
              </w:rPr>
            </w:pPr>
            <w:r w:rsidRPr="00D43C26">
              <w:rPr>
                <w:b/>
                <w:bCs/>
              </w:rPr>
              <w:t xml:space="preserve">Tier </w:t>
            </w:r>
            <w:r w:rsidR="002B3759" w:rsidRPr="00D43C26">
              <w:rPr>
                <w:b/>
                <w:bCs/>
              </w:rPr>
              <w:t>classification</w:t>
            </w:r>
          </w:p>
        </w:tc>
        <w:tc>
          <w:tcPr>
            <w:tcW w:w="845" w:type="dxa"/>
          </w:tcPr>
          <w:p w14:paraId="3E3F61BB" w14:textId="39FF2761" w:rsidR="00A16955" w:rsidRPr="00D43C26" w:rsidRDefault="00A16955" w:rsidP="00F4159F">
            <w:pPr>
              <w:spacing w:after="0"/>
            </w:pPr>
            <w:r w:rsidRPr="00D43C26">
              <w:t xml:space="preserve">Tier </w:t>
            </w:r>
            <w:r w:rsidR="00CB61F7">
              <w:t>3</w:t>
            </w:r>
          </w:p>
        </w:tc>
      </w:tr>
      <w:tr w:rsidR="00A16955" w:rsidRPr="00D43C26" w14:paraId="1FCCABF2" w14:textId="77777777" w:rsidTr="3267F38A">
        <w:tc>
          <w:tcPr>
            <w:tcW w:w="9062" w:type="dxa"/>
            <w:gridSpan w:val="6"/>
            <w:shd w:val="clear" w:color="auto" w:fill="DEEAF6" w:themeFill="accent5" w:themeFillTint="33"/>
          </w:tcPr>
          <w:p w14:paraId="131ECDDF" w14:textId="77777777" w:rsidR="00A16955" w:rsidRPr="00D43C26" w:rsidRDefault="00A16955" w:rsidP="00F4159F">
            <w:pPr>
              <w:spacing w:after="0"/>
            </w:pPr>
            <w:r>
              <w:rPr>
                <w:noProof/>
              </w:rPr>
              <w:drawing>
                <wp:inline distT="0" distB="0" distL="0" distR="0" wp14:anchorId="1B5B2DEC" wp14:editId="3F1A981E">
                  <wp:extent cx="288000" cy="288000"/>
                  <wp:effectExtent l="0" t="0" r="0" b="0"/>
                  <wp:docPr id="214" name="Graphic 214"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4"/>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r w:rsidRPr="3267F38A">
              <w:rPr>
                <w:b/>
                <w:bCs/>
              </w:rPr>
              <w:t>Concept</w:t>
            </w:r>
            <w:r w:rsidRPr="3267F38A">
              <w:rPr>
                <w:noProof/>
              </w:rPr>
              <w:t xml:space="preserve"> </w:t>
            </w:r>
          </w:p>
        </w:tc>
      </w:tr>
      <w:tr w:rsidR="00A16955" w:rsidRPr="00D43C26" w14:paraId="69A8B32B" w14:textId="77777777" w:rsidTr="3267F38A">
        <w:tc>
          <w:tcPr>
            <w:tcW w:w="9062" w:type="dxa"/>
            <w:gridSpan w:val="6"/>
          </w:tcPr>
          <w:p w14:paraId="09ED24C8" w14:textId="79592947" w:rsidR="00A16955" w:rsidRPr="00D43C26" w:rsidRDefault="00D43C26" w:rsidP="00F4159F">
            <w:pPr>
              <w:spacing w:after="0"/>
            </w:pPr>
            <w:r w:rsidRPr="00D43C26">
              <w:t>The method looks at the distribution of profits of an MNE among its units globally and relates it to the corresponding corporate (effective) tax rates and underlying economic activity of a particular unit. The method assumes that an MNE unit is likely to shift profits out of the country if another unit’s tax regime induces a lower tax rate.</w:t>
            </w:r>
          </w:p>
        </w:tc>
      </w:tr>
      <w:tr w:rsidR="00A16955" w:rsidRPr="00D43C26" w14:paraId="5EF4F27C" w14:textId="77777777" w:rsidTr="3267F38A">
        <w:tc>
          <w:tcPr>
            <w:tcW w:w="9062" w:type="dxa"/>
            <w:gridSpan w:val="6"/>
            <w:shd w:val="clear" w:color="auto" w:fill="DEEAF6" w:themeFill="accent5" w:themeFillTint="33"/>
          </w:tcPr>
          <w:p w14:paraId="07EE6067" w14:textId="77777777" w:rsidR="00A16955" w:rsidRPr="00D43C26" w:rsidRDefault="00A16955" w:rsidP="00F4159F">
            <w:pPr>
              <w:spacing w:after="0"/>
            </w:pPr>
            <w:r>
              <w:rPr>
                <w:noProof/>
              </w:rPr>
              <w:drawing>
                <wp:inline distT="0" distB="0" distL="0" distR="0" wp14:anchorId="7B6A9097" wp14:editId="4FADC25F">
                  <wp:extent cx="288000" cy="288000"/>
                  <wp:effectExtent l="0" t="0" r="0" b="0"/>
                  <wp:docPr id="217" name="Graphic 217"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7"/>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r w:rsidRPr="3267F38A">
              <w:rPr>
                <w:b/>
                <w:bCs/>
              </w:rPr>
              <w:t>Assumptions</w:t>
            </w:r>
          </w:p>
        </w:tc>
      </w:tr>
      <w:tr w:rsidR="00A16955" w:rsidRPr="00D43C26" w14:paraId="12F54D9F" w14:textId="77777777" w:rsidTr="3267F38A">
        <w:tc>
          <w:tcPr>
            <w:tcW w:w="9062" w:type="dxa"/>
            <w:gridSpan w:val="6"/>
          </w:tcPr>
          <w:p w14:paraId="7F0D4741" w14:textId="77777777" w:rsidR="00A16955" w:rsidRPr="00D43C26" w:rsidRDefault="00D43C26" w:rsidP="00D43C26">
            <w:pPr>
              <w:spacing w:after="0"/>
            </w:pPr>
            <w:r w:rsidRPr="00D43C26">
              <w:t>1. Any systematic deviation from predicted profitability of the unit is a sign of profit shifting.</w:t>
            </w:r>
          </w:p>
          <w:p w14:paraId="008F6286" w14:textId="77777777" w:rsidR="00D43C26" w:rsidRDefault="00D43C26" w:rsidP="00D43C26">
            <w:pPr>
              <w:spacing w:after="0"/>
            </w:pPr>
            <w:r w:rsidRPr="00D43C26">
              <w:t xml:space="preserve">2. </w:t>
            </w:r>
            <w:r w:rsidR="00750A01">
              <w:t>If domestic tax rates are higher than in partner country, profits are being shifted out of a country.</w:t>
            </w:r>
          </w:p>
          <w:p w14:paraId="7607592F" w14:textId="4CD8253F" w:rsidR="00750A01" w:rsidRPr="00D43C26" w:rsidRDefault="00750A01" w:rsidP="00D43C26">
            <w:pPr>
              <w:spacing w:after="0"/>
            </w:pPr>
            <w:r>
              <w:t xml:space="preserve">3. Marginal effect of tax rate change translates to the amount of profits shifted. </w:t>
            </w:r>
          </w:p>
        </w:tc>
      </w:tr>
      <w:tr w:rsidR="00A16955" w:rsidRPr="00D43C26" w14:paraId="3E076648" w14:textId="77777777" w:rsidTr="3267F38A">
        <w:tc>
          <w:tcPr>
            <w:tcW w:w="4530" w:type="dxa"/>
            <w:gridSpan w:val="3"/>
            <w:shd w:val="clear" w:color="auto" w:fill="DEEAF6" w:themeFill="accent5" w:themeFillTint="33"/>
          </w:tcPr>
          <w:p w14:paraId="67AF95D1" w14:textId="77777777" w:rsidR="00A16955" w:rsidRPr="00D43C26" w:rsidRDefault="00A16955" w:rsidP="00F4159F">
            <w:pPr>
              <w:spacing w:after="0"/>
            </w:pPr>
            <w:r>
              <w:rPr>
                <w:noProof/>
              </w:rPr>
              <w:drawing>
                <wp:inline distT="0" distB="0" distL="0" distR="0" wp14:anchorId="4063A657" wp14:editId="223C2464">
                  <wp:extent cx="288000" cy="288000"/>
                  <wp:effectExtent l="0" t="0" r="0" b="0"/>
                  <wp:docPr id="30" name="Graphic 30"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8000" cy="288000"/>
                          </a:xfrm>
                          <a:prstGeom prst="rect">
                            <a:avLst/>
                          </a:prstGeom>
                        </pic:spPr>
                      </pic:pic>
                    </a:graphicData>
                  </a:graphic>
                </wp:inline>
              </w:drawing>
            </w:r>
            <w:r w:rsidRPr="3267F38A">
              <w:rPr>
                <w:b/>
                <w:bCs/>
              </w:rPr>
              <w:t>Strengths</w:t>
            </w:r>
            <w:r>
              <w:t xml:space="preserve"> </w:t>
            </w:r>
          </w:p>
        </w:tc>
        <w:tc>
          <w:tcPr>
            <w:tcW w:w="4532" w:type="dxa"/>
            <w:gridSpan w:val="3"/>
            <w:shd w:val="clear" w:color="auto" w:fill="DEEAF6" w:themeFill="accent5" w:themeFillTint="33"/>
          </w:tcPr>
          <w:p w14:paraId="56135096" w14:textId="77777777" w:rsidR="00A16955" w:rsidRPr="00D43C26" w:rsidRDefault="00A16955" w:rsidP="00F4159F">
            <w:pPr>
              <w:spacing w:after="0"/>
            </w:pPr>
            <w:r>
              <w:rPr>
                <w:noProof/>
              </w:rPr>
              <w:drawing>
                <wp:inline distT="0" distB="0" distL="0" distR="0" wp14:anchorId="474A39D5" wp14:editId="7D80A701">
                  <wp:extent cx="288000" cy="288000"/>
                  <wp:effectExtent l="0" t="0" r="0" b="0"/>
                  <wp:docPr id="31" name="Graphic 31"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r w:rsidRPr="3267F38A">
              <w:rPr>
                <w:b/>
                <w:bCs/>
              </w:rPr>
              <w:t>Limitations</w:t>
            </w:r>
          </w:p>
        </w:tc>
      </w:tr>
      <w:tr w:rsidR="00A16955" w:rsidRPr="00D43C26" w14:paraId="5683BE88" w14:textId="77777777" w:rsidTr="3267F38A">
        <w:tc>
          <w:tcPr>
            <w:tcW w:w="4530" w:type="dxa"/>
            <w:gridSpan w:val="3"/>
          </w:tcPr>
          <w:p w14:paraId="23C25AA5" w14:textId="77777777" w:rsidR="00A16955" w:rsidRDefault="00750A01" w:rsidP="00F4159F">
            <w:pPr>
              <w:spacing w:after="0"/>
            </w:pPr>
            <w:r>
              <w:t>1. Straightforward concept.</w:t>
            </w:r>
          </w:p>
          <w:p w14:paraId="5BE504F3" w14:textId="77777777" w:rsidR="00750A01" w:rsidRDefault="00750A01" w:rsidP="00F4159F">
            <w:pPr>
              <w:spacing w:after="0"/>
            </w:pPr>
            <w:r>
              <w:t xml:space="preserve">2. Data availability. </w:t>
            </w:r>
          </w:p>
          <w:p w14:paraId="3CEB9F30" w14:textId="05D4C961" w:rsidR="00750A01" w:rsidRPr="00D43C26" w:rsidRDefault="00750A01" w:rsidP="00F4159F">
            <w:pPr>
              <w:spacing w:after="0"/>
            </w:pPr>
            <w:r>
              <w:t xml:space="preserve">3. Potential for enhancements. </w:t>
            </w:r>
          </w:p>
        </w:tc>
        <w:tc>
          <w:tcPr>
            <w:tcW w:w="4532" w:type="dxa"/>
            <w:gridSpan w:val="3"/>
          </w:tcPr>
          <w:p w14:paraId="00DCFB15" w14:textId="77777777" w:rsidR="00A16955" w:rsidRPr="00D43C26" w:rsidRDefault="00D43C26" w:rsidP="00F4159F">
            <w:pPr>
              <w:spacing w:after="0"/>
            </w:pPr>
            <w:r w:rsidRPr="00D43C26">
              <w:t xml:space="preserve">1. Underestimates the amount of profit shifting. </w:t>
            </w:r>
          </w:p>
          <w:p w14:paraId="051DBBC7" w14:textId="77777777" w:rsidR="00D43C26" w:rsidRPr="00D43C26" w:rsidRDefault="00D43C26" w:rsidP="00F4159F">
            <w:pPr>
              <w:spacing w:after="0"/>
            </w:pPr>
            <w:r w:rsidRPr="00D43C26">
              <w:t>2. Hard to determine tax rate faced by MNE unit.</w:t>
            </w:r>
          </w:p>
          <w:p w14:paraId="46CE2D8D" w14:textId="77777777" w:rsidR="00D43C26" w:rsidRDefault="00D43C26" w:rsidP="00F4159F">
            <w:pPr>
              <w:spacing w:after="0"/>
            </w:pPr>
            <w:r w:rsidRPr="00D43C26">
              <w:t>3. Tax sensitivity may vary across different tax regimes or size of</w:t>
            </w:r>
            <w:r w:rsidR="00CF71F2">
              <w:t xml:space="preserve"> an</w:t>
            </w:r>
            <w:r w:rsidRPr="00D43C26">
              <w:t xml:space="preserve"> MNE.</w:t>
            </w:r>
          </w:p>
          <w:p w14:paraId="3646D5C5" w14:textId="5A0EC088" w:rsidR="0013284A" w:rsidRPr="00D43C26" w:rsidRDefault="0013284A" w:rsidP="00F4159F">
            <w:pPr>
              <w:spacing w:after="0"/>
            </w:pPr>
            <w:r>
              <w:t>4. Data limitations usually do not account for entire web of MNEs’ units.</w:t>
            </w:r>
          </w:p>
        </w:tc>
      </w:tr>
      <w:tr w:rsidR="00A16955" w:rsidRPr="00D43C26" w14:paraId="18556891" w14:textId="77777777" w:rsidTr="3267F38A">
        <w:tc>
          <w:tcPr>
            <w:tcW w:w="4530" w:type="dxa"/>
            <w:gridSpan w:val="3"/>
            <w:shd w:val="clear" w:color="auto" w:fill="DEEAF6" w:themeFill="accent5" w:themeFillTint="33"/>
          </w:tcPr>
          <w:p w14:paraId="17314AB0" w14:textId="77777777" w:rsidR="00A16955" w:rsidRPr="00D43C26" w:rsidRDefault="00A16955" w:rsidP="00F4159F">
            <w:pPr>
              <w:spacing w:after="0"/>
            </w:pPr>
            <w:r>
              <w:rPr>
                <w:noProof/>
              </w:rPr>
              <w:drawing>
                <wp:inline distT="0" distB="0" distL="0" distR="0" wp14:anchorId="6CFDDBFC" wp14:editId="086E14FB">
                  <wp:extent cx="288000" cy="288000"/>
                  <wp:effectExtent l="0" t="0" r="0" b="0"/>
                  <wp:docPr id="218" name="Graphic 218"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8"/>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r w:rsidRPr="3267F38A">
              <w:rPr>
                <w:b/>
                <w:bCs/>
              </w:rPr>
              <w:t>Data sources</w:t>
            </w:r>
          </w:p>
        </w:tc>
        <w:tc>
          <w:tcPr>
            <w:tcW w:w="4532" w:type="dxa"/>
            <w:gridSpan w:val="3"/>
            <w:shd w:val="clear" w:color="auto" w:fill="DEEAF6" w:themeFill="accent5" w:themeFillTint="33"/>
          </w:tcPr>
          <w:p w14:paraId="590B0F43" w14:textId="77777777" w:rsidR="00A16955" w:rsidRPr="00D43C26" w:rsidRDefault="00A16955" w:rsidP="00F4159F">
            <w:pPr>
              <w:spacing w:after="0"/>
            </w:pPr>
            <w:r>
              <w:rPr>
                <w:noProof/>
              </w:rPr>
              <w:drawing>
                <wp:inline distT="0" distB="0" distL="0" distR="0" wp14:anchorId="688981B3" wp14:editId="06279E6B">
                  <wp:extent cx="288000" cy="288000"/>
                  <wp:effectExtent l="0" t="0" r="0" b="0"/>
                  <wp:docPr id="33" name="Graphic 33"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r w:rsidRPr="3267F38A">
              <w:rPr>
                <w:b/>
                <w:bCs/>
              </w:rPr>
              <w:t>Mitigation of limitations</w:t>
            </w:r>
            <w:r>
              <w:t xml:space="preserve"> </w:t>
            </w:r>
          </w:p>
        </w:tc>
      </w:tr>
      <w:tr w:rsidR="00A16955" w:rsidRPr="00D43C26" w14:paraId="7C068E89" w14:textId="77777777" w:rsidTr="3267F38A">
        <w:tc>
          <w:tcPr>
            <w:tcW w:w="4530" w:type="dxa"/>
            <w:gridSpan w:val="3"/>
          </w:tcPr>
          <w:p w14:paraId="0B7B7B7D" w14:textId="13037CAE" w:rsidR="00A16955" w:rsidRDefault="00D43C26" w:rsidP="00F4159F">
            <w:pPr>
              <w:spacing w:after="0"/>
            </w:pPr>
            <w:r>
              <w:t>1. OECD’s CbCR microdata or, if unavailable, aggregated at country level.</w:t>
            </w:r>
          </w:p>
          <w:p w14:paraId="4141CEE6" w14:textId="173A3D8F" w:rsidR="0013284A" w:rsidRDefault="00D43C26" w:rsidP="00F4159F">
            <w:pPr>
              <w:spacing w:after="0"/>
            </w:pPr>
            <w:r>
              <w:t xml:space="preserve">2. </w:t>
            </w:r>
            <w:r w:rsidR="0013284A">
              <w:t xml:space="preserve">If CbCR unavailable, build dataset from </w:t>
            </w:r>
            <w:r w:rsidR="00986295">
              <w:t xml:space="preserve">other sources, such as OECD’s </w:t>
            </w:r>
            <w:r w:rsidR="00F84AEC">
              <w:t>databases (</w:t>
            </w:r>
            <w:r w:rsidR="00986295">
              <w:t>ADIMA</w:t>
            </w:r>
            <w:r w:rsidR="00754A3E">
              <w:t xml:space="preserve">, </w:t>
            </w:r>
            <w:r w:rsidR="00986295">
              <w:t>AMNE</w:t>
            </w:r>
            <w:r w:rsidR="00754A3E">
              <w:t xml:space="preserve"> and Tax Database)</w:t>
            </w:r>
            <w:r w:rsidR="00986295">
              <w:t>, GGR</w:t>
            </w:r>
            <w:r w:rsidR="00754A3E">
              <w:t>, EuroGroups register or similar</w:t>
            </w:r>
            <w:r w:rsidR="00986295">
              <w:t>.</w:t>
            </w:r>
          </w:p>
          <w:p w14:paraId="1F993362" w14:textId="3D27B552" w:rsidR="00D43C26" w:rsidRPr="00D43C26" w:rsidRDefault="0013284A" w:rsidP="00F4159F">
            <w:pPr>
              <w:spacing w:after="0"/>
            </w:pPr>
            <w:r>
              <w:t xml:space="preserve">3. </w:t>
            </w:r>
            <w:r w:rsidR="00D43C26">
              <w:t>Supplementing with UN Data, KPMG, Orbis</w:t>
            </w:r>
          </w:p>
        </w:tc>
        <w:tc>
          <w:tcPr>
            <w:tcW w:w="4532" w:type="dxa"/>
            <w:gridSpan w:val="3"/>
          </w:tcPr>
          <w:p w14:paraId="22553955" w14:textId="77777777" w:rsidR="00A16955" w:rsidRDefault="00D43C26" w:rsidP="00F4159F">
            <w:pPr>
              <w:spacing w:after="0"/>
            </w:pPr>
            <w:r>
              <w:t>1. Use effective average tax rate.</w:t>
            </w:r>
          </w:p>
          <w:p w14:paraId="1E7F5179" w14:textId="77777777" w:rsidR="00D43C26" w:rsidRDefault="00D43C26" w:rsidP="00F4159F">
            <w:pPr>
              <w:spacing w:after="0"/>
            </w:pPr>
            <w:r>
              <w:t xml:space="preserve">2. Introduce a squared tax variable to account for uneven tax sensitivity across tax jurisdictions. </w:t>
            </w:r>
          </w:p>
          <w:p w14:paraId="758EE63B" w14:textId="77777777" w:rsidR="00D43C26" w:rsidRDefault="00D43C26" w:rsidP="00F4159F">
            <w:pPr>
              <w:spacing w:after="0"/>
            </w:pPr>
            <w:r>
              <w:t>3. Supplement econometric analysis by interpretation using location, economic activity, and comparison to comparable group.</w:t>
            </w:r>
          </w:p>
          <w:p w14:paraId="5354ECA0" w14:textId="1B45AA54" w:rsidR="00986295" w:rsidRPr="00D43C26" w:rsidRDefault="00986295" w:rsidP="00F4159F">
            <w:pPr>
              <w:spacing w:after="0"/>
            </w:pPr>
            <w:r>
              <w:t>4. Given data availability and sample size, apply also size-variations in model specification (e.g., quartile regression, weighted regression).</w:t>
            </w:r>
          </w:p>
        </w:tc>
      </w:tr>
      <w:tr w:rsidR="00A16955" w:rsidRPr="00D43C26" w14:paraId="1C5414F6" w14:textId="77777777" w:rsidTr="3267F38A">
        <w:tc>
          <w:tcPr>
            <w:tcW w:w="9062" w:type="dxa"/>
            <w:gridSpan w:val="6"/>
            <w:shd w:val="clear" w:color="auto" w:fill="DEEAF6" w:themeFill="accent5" w:themeFillTint="33"/>
          </w:tcPr>
          <w:p w14:paraId="22972ADD" w14:textId="77777777" w:rsidR="00A16955" w:rsidRPr="00D43C26" w:rsidRDefault="00A16955" w:rsidP="00F4159F">
            <w:pPr>
              <w:spacing w:after="0"/>
            </w:pPr>
            <w:r>
              <w:rPr>
                <w:noProof/>
              </w:rPr>
              <w:drawing>
                <wp:inline distT="0" distB="0" distL="0" distR="0" wp14:anchorId="35F65CEE" wp14:editId="1B4CE14C">
                  <wp:extent cx="288000" cy="288000"/>
                  <wp:effectExtent l="0" t="0" r="0" b="0"/>
                  <wp:docPr id="219" name="Graphic 219"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9"/>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r w:rsidRPr="3267F38A">
              <w:rPr>
                <w:b/>
                <w:bCs/>
              </w:rPr>
              <w:t>Calculation</w:t>
            </w:r>
            <w:r w:rsidRPr="3267F38A">
              <w:rPr>
                <w:noProof/>
              </w:rPr>
              <w:t xml:space="preserve"> </w:t>
            </w:r>
          </w:p>
        </w:tc>
      </w:tr>
      <w:tr w:rsidR="00A16955" w:rsidRPr="00D43C26" w14:paraId="1852A63C" w14:textId="77777777" w:rsidTr="3267F38A">
        <w:tc>
          <w:tcPr>
            <w:tcW w:w="9062" w:type="dxa"/>
            <w:gridSpan w:val="6"/>
          </w:tcPr>
          <w:p w14:paraId="345B6898" w14:textId="77777777" w:rsidR="00A16955" w:rsidRDefault="00D43C26" w:rsidP="00F4159F">
            <w:pPr>
              <w:spacing w:after="0"/>
            </w:pPr>
            <w:r>
              <w:t>1. Determine profit shifting via semi-elasticity of profits on taxes.</w:t>
            </w:r>
          </w:p>
          <w:p w14:paraId="3E152C34" w14:textId="77777777" w:rsidR="00D43C26" w:rsidRDefault="00D43C26" w:rsidP="00F4159F">
            <w:pPr>
              <w:spacing w:after="0"/>
            </w:pPr>
            <w:r>
              <w:t xml:space="preserve">2. Measure the amount of profits shifted. </w:t>
            </w:r>
          </w:p>
          <w:p w14:paraId="60B4EF71" w14:textId="1FEC2857" w:rsidR="00D43C26" w:rsidRPr="00D43C26" w:rsidRDefault="00D43C26" w:rsidP="00F4159F">
            <w:pPr>
              <w:spacing w:after="0"/>
            </w:pPr>
            <w:r>
              <w:t xml:space="preserve">3. </w:t>
            </w:r>
            <w:r w:rsidR="00632049" w:rsidRPr="00D43C26">
              <w:t>Aggregate to obtain inward, outward and total IFFs.</w:t>
            </w:r>
          </w:p>
        </w:tc>
      </w:tr>
      <w:tr w:rsidR="00A16955" w:rsidRPr="00D43C26" w14:paraId="20D95BCE" w14:textId="77777777" w:rsidTr="3267F38A">
        <w:tc>
          <w:tcPr>
            <w:tcW w:w="9062" w:type="dxa"/>
            <w:gridSpan w:val="6"/>
            <w:shd w:val="clear" w:color="auto" w:fill="DEEAF6" w:themeFill="accent5" w:themeFillTint="33"/>
          </w:tcPr>
          <w:p w14:paraId="35BFF9A7" w14:textId="77777777" w:rsidR="00A16955" w:rsidRPr="00D43C26" w:rsidRDefault="00A16955" w:rsidP="00F4159F">
            <w:pPr>
              <w:spacing w:after="0"/>
            </w:pPr>
            <w:r>
              <w:rPr>
                <w:noProof/>
              </w:rPr>
              <w:drawing>
                <wp:inline distT="0" distB="0" distL="0" distR="0" wp14:anchorId="1234DC76" wp14:editId="131DDB28">
                  <wp:extent cx="288000" cy="288000"/>
                  <wp:effectExtent l="0" t="0" r="0" b="0"/>
                  <wp:docPr id="35" name="Graphic 35"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5"/>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r w:rsidRPr="3267F38A">
              <w:rPr>
                <w:b/>
                <w:bCs/>
              </w:rPr>
              <w:t>Results</w:t>
            </w:r>
          </w:p>
        </w:tc>
      </w:tr>
      <w:tr w:rsidR="00A16955" w:rsidRPr="00D43C26" w14:paraId="19B268C3" w14:textId="77777777" w:rsidTr="3267F38A">
        <w:tc>
          <w:tcPr>
            <w:tcW w:w="9062" w:type="dxa"/>
            <w:gridSpan w:val="6"/>
          </w:tcPr>
          <w:p w14:paraId="4DA3A309" w14:textId="70D9724C" w:rsidR="00A16955" w:rsidRPr="00D43C26" w:rsidRDefault="00750A01" w:rsidP="00F4159F">
            <w:pPr>
              <w:spacing w:after="0"/>
            </w:pPr>
            <w:r w:rsidRPr="00D43C26">
              <w:t>Results are presented for a total economy on an annual level: inward IFFs</w:t>
            </w:r>
            <w:r w:rsidR="002560FE">
              <w:t xml:space="preserve"> and</w:t>
            </w:r>
            <w:r w:rsidRPr="00D43C26">
              <w:t xml:space="preserve"> outward IFFs.</w:t>
            </w:r>
          </w:p>
        </w:tc>
      </w:tr>
      <w:tr w:rsidR="00A16955" w:rsidRPr="00D43C26" w14:paraId="313116D4" w14:textId="77777777" w:rsidTr="3267F38A">
        <w:tc>
          <w:tcPr>
            <w:tcW w:w="9062" w:type="dxa"/>
            <w:gridSpan w:val="6"/>
            <w:shd w:val="clear" w:color="auto" w:fill="DEEAF6" w:themeFill="accent5" w:themeFillTint="33"/>
          </w:tcPr>
          <w:p w14:paraId="6C69C82B" w14:textId="77777777" w:rsidR="00A16955" w:rsidRPr="00D43C26" w:rsidRDefault="00A16955" w:rsidP="00F4159F">
            <w:pPr>
              <w:spacing w:after="0"/>
            </w:pPr>
            <w:r>
              <w:rPr>
                <w:noProof/>
              </w:rPr>
              <w:lastRenderedPageBreak/>
              <w:drawing>
                <wp:inline distT="0" distB="0" distL="0" distR="0" wp14:anchorId="6D575ABE" wp14:editId="524F1420">
                  <wp:extent cx="288000" cy="288000"/>
                  <wp:effectExtent l="0" t="0" r="0" b="0"/>
                  <wp:docPr id="36" name="Graphic 36"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8000" cy="288000"/>
                          </a:xfrm>
                          <a:prstGeom prst="rect">
                            <a:avLst/>
                          </a:prstGeom>
                        </pic:spPr>
                      </pic:pic>
                    </a:graphicData>
                  </a:graphic>
                </wp:inline>
              </w:drawing>
            </w:r>
            <w:r w:rsidRPr="3267F38A">
              <w:rPr>
                <w:b/>
                <w:bCs/>
              </w:rPr>
              <w:t>Special note(s)</w:t>
            </w:r>
            <w:r w:rsidRPr="3267F38A">
              <w:rPr>
                <w:noProof/>
              </w:rPr>
              <w:t xml:space="preserve"> </w:t>
            </w:r>
          </w:p>
        </w:tc>
      </w:tr>
      <w:tr w:rsidR="00A16955" w:rsidRPr="00D43C26" w14:paraId="5DE1EEC9" w14:textId="77777777" w:rsidTr="3267F38A">
        <w:tc>
          <w:tcPr>
            <w:tcW w:w="9062" w:type="dxa"/>
            <w:gridSpan w:val="6"/>
          </w:tcPr>
          <w:p w14:paraId="43458A93" w14:textId="0010BA46" w:rsidR="00A16955" w:rsidRPr="00D43C26" w:rsidRDefault="00750A01" w:rsidP="00F4159F">
            <w:pPr>
              <w:spacing w:after="0"/>
            </w:pPr>
            <w:r>
              <w:t>Premise of the method is that profits are shifted out of a country, being studies from high-tax jurisdiction</w:t>
            </w:r>
            <w:r w:rsidR="00986295">
              <w:t>; potentially it can be used for low-tax jurisdiction, in both cases the method will most likely only provide either inward or outward IFFs</w:t>
            </w:r>
            <w:r>
              <w:t xml:space="preserve">. </w:t>
            </w:r>
            <w:r w:rsidR="00986295">
              <w:t xml:space="preserve">With sufficient coverage of all, domestic and foreign MNEs’ units, simultaneous results of both flows of IFFs are expected to be achieved. </w:t>
            </w:r>
          </w:p>
        </w:tc>
      </w:tr>
      <w:tr w:rsidR="00A16955" w:rsidRPr="00D43C26" w14:paraId="70D8F266" w14:textId="77777777" w:rsidTr="3267F38A">
        <w:tc>
          <w:tcPr>
            <w:tcW w:w="9062" w:type="dxa"/>
            <w:gridSpan w:val="6"/>
            <w:shd w:val="clear" w:color="auto" w:fill="DEEAF6" w:themeFill="accent5" w:themeFillTint="33"/>
          </w:tcPr>
          <w:p w14:paraId="3F927680" w14:textId="77777777" w:rsidR="00A16955" w:rsidRPr="00D43C26" w:rsidRDefault="00A16955" w:rsidP="00F4159F">
            <w:pPr>
              <w:spacing w:after="0"/>
            </w:pPr>
            <w:r>
              <w:rPr>
                <w:noProof/>
              </w:rPr>
              <w:drawing>
                <wp:inline distT="0" distB="0" distL="0" distR="0" wp14:anchorId="1BA5FE88" wp14:editId="22493D27">
                  <wp:extent cx="288000" cy="288000"/>
                  <wp:effectExtent l="0" t="0" r="0" b="0"/>
                  <wp:docPr id="37" name="Graphic 37"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7"/>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r w:rsidRPr="3267F38A">
              <w:rPr>
                <w:b/>
                <w:bCs/>
              </w:rPr>
              <w:t>Case studies</w:t>
            </w:r>
          </w:p>
        </w:tc>
      </w:tr>
      <w:tr w:rsidR="00A16955" w:rsidRPr="00D43C26" w14:paraId="7A613AA7" w14:textId="77777777" w:rsidTr="3267F38A">
        <w:tc>
          <w:tcPr>
            <w:tcW w:w="9062" w:type="dxa"/>
            <w:gridSpan w:val="6"/>
          </w:tcPr>
          <w:p w14:paraId="7E79A5F2" w14:textId="77777777" w:rsidR="00A16955" w:rsidRDefault="00750A01" w:rsidP="00F4159F">
            <w:pPr>
              <w:spacing w:after="0"/>
            </w:pPr>
            <w:r>
              <w:t>1. Estimating profit shifting in South Africa using firm-level tax returns (Reynolds and Wier, 2016; Wier and Reynolds, 2018).</w:t>
            </w:r>
          </w:p>
          <w:p w14:paraId="4DD83475" w14:textId="4B232E1F" w:rsidR="00750A01" w:rsidRPr="00D43C26" w:rsidRDefault="00750A01" w:rsidP="00F4159F">
            <w:pPr>
              <w:spacing w:after="0"/>
            </w:pPr>
            <w:r>
              <w:t>2. Profit shifting in Germany using Country-by-Country Reporting data (Fuest et al., 2021).</w:t>
            </w:r>
          </w:p>
        </w:tc>
      </w:tr>
    </w:tbl>
    <w:p w14:paraId="7F1403D0" w14:textId="77777777" w:rsidR="00A16955" w:rsidRPr="00D43C26" w:rsidRDefault="00A16955" w:rsidP="00A16955"/>
    <w:p w14:paraId="3DE3392D" w14:textId="77777777" w:rsidR="00A16955" w:rsidRPr="00D43C26" w:rsidRDefault="00A16955" w:rsidP="00A16955"/>
    <w:p w14:paraId="51153B81" w14:textId="77777777" w:rsidR="00A16955" w:rsidRPr="00D43C26" w:rsidRDefault="00A16955" w:rsidP="00A16955">
      <w:r w:rsidRPr="00D43C2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A16955" w:rsidRPr="00D43C26" w14:paraId="7B1DFC85" w14:textId="77777777" w:rsidTr="3267F38A">
        <w:tc>
          <w:tcPr>
            <w:tcW w:w="2265" w:type="dxa"/>
            <w:tcBorders>
              <w:right w:val="nil"/>
            </w:tcBorders>
            <w:shd w:val="clear" w:color="auto" w:fill="DEEAF6" w:themeFill="accent5" w:themeFillTint="33"/>
          </w:tcPr>
          <w:p w14:paraId="36989AA2" w14:textId="77777777" w:rsidR="00A16955" w:rsidRPr="00D43C26" w:rsidRDefault="00A16955" w:rsidP="00F4159F">
            <w:pPr>
              <w:spacing w:after="0"/>
            </w:pPr>
            <w:r w:rsidRPr="00D43C26">
              <w:rPr>
                <w:b/>
                <w:bCs/>
              </w:rPr>
              <w:lastRenderedPageBreak/>
              <w:t>Method fact sheet</w:t>
            </w:r>
          </w:p>
        </w:tc>
        <w:tc>
          <w:tcPr>
            <w:tcW w:w="6797" w:type="dxa"/>
            <w:gridSpan w:val="5"/>
            <w:tcBorders>
              <w:left w:val="nil"/>
            </w:tcBorders>
            <w:shd w:val="clear" w:color="auto" w:fill="DEEAF6" w:themeFill="accent5" w:themeFillTint="33"/>
          </w:tcPr>
          <w:p w14:paraId="1770F95E" w14:textId="305867A6" w:rsidR="00A16955" w:rsidRPr="00D43C26" w:rsidRDefault="00A16955" w:rsidP="00F4159F">
            <w:pPr>
              <w:spacing w:after="0"/>
              <w:jc w:val="right"/>
              <w:rPr>
                <w:b/>
                <w:bCs/>
              </w:rPr>
            </w:pPr>
            <w:r w:rsidRPr="00D43C26">
              <w:rPr>
                <w:b/>
                <w:bCs/>
              </w:rPr>
              <w:t xml:space="preserve">METHODOLOGICAL GUIDELINES </w:t>
            </w:r>
            <w:r w:rsidR="00A1784C">
              <w:rPr>
                <w:b/>
                <w:bCs/>
              </w:rPr>
              <w:t>TO MEASURE</w:t>
            </w:r>
            <w:r w:rsidR="00A1784C" w:rsidRPr="00D43C26">
              <w:rPr>
                <w:b/>
                <w:bCs/>
              </w:rPr>
              <w:t xml:space="preserve"> </w:t>
            </w:r>
          </w:p>
          <w:p w14:paraId="641B4DAF" w14:textId="77777777" w:rsidR="00A16955" w:rsidRPr="00D43C26" w:rsidRDefault="00A16955" w:rsidP="00F4159F">
            <w:pPr>
              <w:spacing w:after="0"/>
              <w:jc w:val="right"/>
              <w:rPr>
                <w:b/>
                <w:bCs/>
              </w:rPr>
            </w:pPr>
            <w:r w:rsidRPr="00D43C26">
              <w:rPr>
                <w:b/>
                <w:bCs/>
              </w:rPr>
              <w:t xml:space="preserve">TAX AND COMMERCIAL ILLICIT FINANCIAL FLOWS </w:t>
            </w:r>
          </w:p>
          <w:p w14:paraId="068017CE" w14:textId="77777777" w:rsidR="00A16955" w:rsidRPr="00D43C26" w:rsidRDefault="00A16955" w:rsidP="00F4159F">
            <w:pPr>
              <w:spacing w:after="0"/>
              <w:jc w:val="right"/>
              <w:rPr>
                <w:b/>
                <w:bCs/>
                <w:sz w:val="20"/>
                <w:szCs w:val="20"/>
              </w:rPr>
            </w:pPr>
            <w:r w:rsidRPr="00D43C26">
              <w:rPr>
                <w:b/>
                <w:bCs/>
                <w:sz w:val="20"/>
                <w:szCs w:val="20"/>
              </w:rPr>
              <w:t>Methods for pilot testing</w:t>
            </w:r>
          </w:p>
        </w:tc>
      </w:tr>
      <w:tr w:rsidR="00A16955" w:rsidRPr="002B3759" w14:paraId="159FD733" w14:textId="77777777" w:rsidTr="3267F38A">
        <w:tc>
          <w:tcPr>
            <w:tcW w:w="2405" w:type="dxa"/>
            <w:gridSpan w:val="2"/>
            <w:shd w:val="clear" w:color="auto" w:fill="DEEAF6" w:themeFill="accent5" w:themeFillTint="33"/>
          </w:tcPr>
          <w:p w14:paraId="486D6D7B" w14:textId="77777777" w:rsidR="00A16955" w:rsidRPr="00D43C26" w:rsidRDefault="00A16955" w:rsidP="00F4159F">
            <w:pPr>
              <w:spacing w:after="0"/>
              <w:rPr>
                <w:b/>
                <w:bCs/>
              </w:rPr>
            </w:pPr>
            <w:r w:rsidRPr="00D43C26">
              <w:rPr>
                <w:b/>
                <w:bCs/>
              </w:rPr>
              <w:t>Method title</w:t>
            </w:r>
          </w:p>
        </w:tc>
        <w:tc>
          <w:tcPr>
            <w:tcW w:w="6657" w:type="dxa"/>
            <w:gridSpan w:val="4"/>
          </w:tcPr>
          <w:p w14:paraId="290DE891" w14:textId="77777777" w:rsidR="00A16955" w:rsidRPr="002B3759" w:rsidRDefault="00A16955" w:rsidP="00F4159F">
            <w:pPr>
              <w:spacing w:after="0"/>
              <w:rPr>
                <w:lang w:val="fr-CH"/>
              </w:rPr>
            </w:pPr>
            <w:r w:rsidRPr="002B3759">
              <w:rPr>
                <w:lang w:val="fr-CH"/>
              </w:rPr>
              <w:t>#4 MNE vs comparable non-MNE profit shifting</w:t>
            </w:r>
          </w:p>
        </w:tc>
      </w:tr>
      <w:tr w:rsidR="00A16955" w:rsidRPr="00D43C26" w14:paraId="2D356BC9" w14:textId="77777777" w:rsidTr="3267F38A">
        <w:tc>
          <w:tcPr>
            <w:tcW w:w="2405" w:type="dxa"/>
            <w:gridSpan w:val="2"/>
            <w:shd w:val="clear" w:color="auto" w:fill="DEEAF6" w:themeFill="accent5" w:themeFillTint="33"/>
          </w:tcPr>
          <w:p w14:paraId="300F6ECF" w14:textId="77777777" w:rsidR="00A16955" w:rsidRPr="00D43C26" w:rsidRDefault="00A16955" w:rsidP="00F4159F">
            <w:pPr>
              <w:spacing w:after="0"/>
              <w:rPr>
                <w:b/>
                <w:bCs/>
              </w:rPr>
            </w:pPr>
            <w:r w:rsidRPr="00D43C26">
              <w:rPr>
                <w:b/>
                <w:bCs/>
              </w:rPr>
              <w:t>Alternative title(s)</w:t>
            </w:r>
          </w:p>
        </w:tc>
        <w:tc>
          <w:tcPr>
            <w:tcW w:w="6657" w:type="dxa"/>
            <w:gridSpan w:val="4"/>
          </w:tcPr>
          <w:p w14:paraId="5B1AC647" w14:textId="77777777" w:rsidR="00A16955" w:rsidRPr="00D43C26" w:rsidRDefault="00A16955" w:rsidP="00F4159F">
            <w:pPr>
              <w:spacing w:after="0"/>
            </w:pPr>
          </w:p>
        </w:tc>
      </w:tr>
      <w:tr w:rsidR="00A16955" w:rsidRPr="00D43C26" w14:paraId="496D863F" w14:textId="77777777" w:rsidTr="3267F38A">
        <w:tc>
          <w:tcPr>
            <w:tcW w:w="2405" w:type="dxa"/>
            <w:gridSpan w:val="2"/>
            <w:shd w:val="clear" w:color="auto" w:fill="DEEAF6" w:themeFill="accent5" w:themeFillTint="33"/>
          </w:tcPr>
          <w:p w14:paraId="7574B743" w14:textId="77777777" w:rsidR="00A16955" w:rsidRPr="00D43C26" w:rsidRDefault="00A16955" w:rsidP="00F4159F">
            <w:pPr>
              <w:spacing w:after="0"/>
              <w:rPr>
                <w:b/>
                <w:bCs/>
              </w:rPr>
            </w:pPr>
            <w:r w:rsidRPr="00D43C26">
              <w:rPr>
                <w:b/>
                <w:bCs/>
              </w:rPr>
              <w:t>Method group</w:t>
            </w:r>
          </w:p>
        </w:tc>
        <w:tc>
          <w:tcPr>
            <w:tcW w:w="6657" w:type="dxa"/>
            <w:gridSpan w:val="4"/>
          </w:tcPr>
          <w:p w14:paraId="19A77CDA" w14:textId="4EABCFD2" w:rsidR="00A16955" w:rsidRPr="00D43C26" w:rsidRDefault="00E06D1A" w:rsidP="00F4159F">
            <w:pPr>
              <w:spacing w:after="0"/>
            </w:pPr>
            <w:r>
              <w:t xml:space="preserve">Aggressive </w:t>
            </w:r>
            <w:r w:rsidR="00A16955" w:rsidRPr="00D43C26">
              <w:t xml:space="preserve">tax avoidance </w:t>
            </w:r>
            <w:r>
              <w:t xml:space="preserve">or profit shifting </w:t>
            </w:r>
            <w:r w:rsidR="00A16955" w:rsidRPr="00D43C26">
              <w:t>by MNEs</w:t>
            </w:r>
          </w:p>
        </w:tc>
      </w:tr>
      <w:tr w:rsidR="00A16955" w:rsidRPr="00D43C26" w14:paraId="71E633E2" w14:textId="77777777" w:rsidTr="3267F38A">
        <w:tc>
          <w:tcPr>
            <w:tcW w:w="2405" w:type="dxa"/>
            <w:gridSpan w:val="2"/>
            <w:shd w:val="clear" w:color="auto" w:fill="DEEAF6" w:themeFill="accent5" w:themeFillTint="33"/>
          </w:tcPr>
          <w:p w14:paraId="09C3EA91" w14:textId="4C35081E" w:rsidR="00A16955" w:rsidRPr="00D43C26" w:rsidRDefault="00A16955" w:rsidP="00F4159F">
            <w:pPr>
              <w:spacing w:after="0"/>
              <w:rPr>
                <w:b/>
                <w:bCs/>
              </w:rPr>
            </w:pPr>
            <w:r w:rsidRPr="00D43C26">
              <w:rPr>
                <w:b/>
                <w:bCs/>
              </w:rPr>
              <w:t xml:space="preserve">Targeted IFFs </w:t>
            </w:r>
            <w:r w:rsidR="001306A4" w:rsidRPr="00D43C26">
              <w:rPr>
                <w:b/>
                <w:bCs/>
              </w:rPr>
              <w:t>flow type</w:t>
            </w:r>
          </w:p>
        </w:tc>
        <w:tc>
          <w:tcPr>
            <w:tcW w:w="3827" w:type="dxa"/>
            <w:gridSpan w:val="2"/>
          </w:tcPr>
          <w:p w14:paraId="3C0A81AF" w14:textId="28708F4D" w:rsidR="00A16955" w:rsidRPr="00D43C26" w:rsidRDefault="001306A4" w:rsidP="00F4159F">
            <w:pPr>
              <w:spacing w:after="0"/>
            </w:pPr>
            <w:r w:rsidRPr="00D43C26">
              <w:t>F</w:t>
            </w:r>
            <w:r w:rsidR="00A16955" w:rsidRPr="00D43C26">
              <w:t>3-</w:t>
            </w:r>
            <w:r w:rsidRPr="00D43C26">
              <w:t>F</w:t>
            </w:r>
            <w:r w:rsidR="00FE776E">
              <w:t>5</w:t>
            </w:r>
            <w:r w:rsidR="00A16955" w:rsidRPr="00D43C26">
              <w:t xml:space="preserve"> Profit shifting</w:t>
            </w:r>
          </w:p>
        </w:tc>
        <w:tc>
          <w:tcPr>
            <w:tcW w:w="1985" w:type="dxa"/>
            <w:shd w:val="clear" w:color="auto" w:fill="DEEAF6" w:themeFill="accent5" w:themeFillTint="33"/>
          </w:tcPr>
          <w:p w14:paraId="7A1DFB93" w14:textId="2E64C88F" w:rsidR="00A16955" w:rsidRPr="00D43C26" w:rsidRDefault="00A16955" w:rsidP="00F4159F">
            <w:pPr>
              <w:spacing w:after="0"/>
              <w:rPr>
                <w:b/>
                <w:bCs/>
              </w:rPr>
            </w:pPr>
            <w:r w:rsidRPr="00D43C26">
              <w:rPr>
                <w:b/>
                <w:bCs/>
              </w:rPr>
              <w:t xml:space="preserve">Tier </w:t>
            </w:r>
            <w:r w:rsidR="002B3759" w:rsidRPr="00D43C26">
              <w:rPr>
                <w:b/>
                <w:bCs/>
              </w:rPr>
              <w:t>classification</w:t>
            </w:r>
          </w:p>
        </w:tc>
        <w:tc>
          <w:tcPr>
            <w:tcW w:w="845" w:type="dxa"/>
          </w:tcPr>
          <w:p w14:paraId="6B4930E8" w14:textId="77777777" w:rsidR="00A16955" w:rsidRPr="00D43C26" w:rsidRDefault="00A16955" w:rsidP="00F4159F">
            <w:pPr>
              <w:spacing w:after="0"/>
            </w:pPr>
            <w:r w:rsidRPr="00D43C26">
              <w:t>Tier 1</w:t>
            </w:r>
          </w:p>
        </w:tc>
      </w:tr>
      <w:tr w:rsidR="00A16955" w:rsidRPr="00D43C26" w14:paraId="5AA6DF0D" w14:textId="77777777" w:rsidTr="3267F38A">
        <w:tc>
          <w:tcPr>
            <w:tcW w:w="9062" w:type="dxa"/>
            <w:gridSpan w:val="6"/>
            <w:shd w:val="clear" w:color="auto" w:fill="DEEAF6" w:themeFill="accent5" w:themeFillTint="33"/>
          </w:tcPr>
          <w:p w14:paraId="27614BD5" w14:textId="77777777" w:rsidR="00A16955" w:rsidRPr="00D43C26" w:rsidRDefault="00A16955" w:rsidP="00F4159F">
            <w:pPr>
              <w:spacing w:after="0"/>
            </w:pPr>
            <w:r>
              <w:rPr>
                <w:noProof/>
              </w:rPr>
              <w:drawing>
                <wp:inline distT="0" distB="0" distL="0" distR="0" wp14:anchorId="231F409D" wp14:editId="6A13B7B4">
                  <wp:extent cx="288000" cy="288000"/>
                  <wp:effectExtent l="0" t="0" r="0" b="0"/>
                  <wp:docPr id="38" name="Graphic 38"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r w:rsidRPr="3267F38A">
              <w:rPr>
                <w:b/>
                <w:bCs/>
              </w:rPr>
              <w:t>Concept</w:t>
            </w:r>
            <w:r w:rsidRPr="3267F38A">
              <w:rPr>
                <w:noProof/>
              </w:rPr>
              <w:t xml:space="preserve"> </w:t>
            </w:r>
          </w:p>
        </w:tc>
      </w:tr>
      <w:tr w:rsidR="00A16955" w:rsidRPr="00D43C26" w14:paraId="666F0B12" w14:textId="77777777" w:rsidTr="3267F38A">
        <w:tc>
          <w:tcPr>
            <w:tcW w:w="9062" w:type="dxa"/>
            <w:gridSpan w:val="6"/>
          </w:tcPr>
          <w:p w14:paraId="4EC7EA29" w14:textId="77777777" w:rsidR="00A16955" w:rsidRPr="00D43C26" w:rsidRDefault="00A16955" w:rsidP="00F4159F">
            <w:pPr>
              <w:spacing w:after="0"/>
            </w:pPr>
            <w:r w:rsidRPr="00D43C26">
              <w:t>The method identifies tax-avoiding MNEs applying both between (MNEs to comparable non-MNEs) and within (tax-avoiding to non-tax-avoiding MNEs) comparisons and measures related amount of BEPS.</w:t>
            </w:r>
          </w:p>
        </w:tc>
      </w:tr>
      <w:tr w:rsidR="00A16955" w:rsidRPr="00D43C26" w14:paraId="60C00165" w14:textId="77777777" w:rsidTr="3267F38A">
        <w:tc>
          <w:tcPr>
            <w:tcW w:w="9062" w:type="dxa"/>
            <w:gridSpan w:val="6"/>
            <w:shd w:val="clear" w:color="auto" w:fill="DEEAF6" w:themeFill="accent5" w:themeFillTint="33"/>
          </w:tcPr>
          <w:p w14:paraId="4D08AC1F" w14:textId="77777777" w:rsidR="00A16955" w:rsidRPr="00D43C26" w:rsidRDefault="00A16955" w:rsidP="00F4159F">
            <w:pPr>
              <w:spacing w:after="0"/>
            </w:pPr>
            <w:r>
              <w:rPr>
                <w:noProof/>
              </w:rPr>
              <w:drawing>
                <wp:inline distT="0" distB="0" distL="0" distR="0" wp14:anchorId="3DCE63D7" wp14:editId="03DEFAC3">
                  <wp:extent cx="288000" cy="288000"/>
                  <wp:effectExtent l="0" t="0" r="0" b="0"/>
                  <wp:docPr id="39" name="Graphic 39"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9"/>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r w:rsidRPr="3267F38A">
              <w:rPr>
                <w:b/>
                <w:bCs/>
              </w:rPr>
              <w:t>Assumptions</w:t>
            </w:r>
          </w:p>
        </w:tc>
      </w:tr>
      <w:tr w:rsidR="00A16955" w:rsidRPr="00D43C26" w14:paraId="7991C423" w14:textId="77777777" w:rsidTr="3267F38A">
        <w:tc>
          <w:tcPr>
            <w:tcW w:w="9062" w:type="dxa"/>
            <w:gridSpan w:val="6"/>
          </w:tcPr>
          <w:p w14:paraId="41025B41" w14:textId="77777777" w:rsidR="00A16955" w:rsidRPr="00D43C26" w:rsidRDefault="00A16955" w:rsidP="00F4159F">
            <w:pPr>
              <w:spacing w:after="0"/>
            </w:pPr>
            <w:r w:rsidRPr="00D43C26">
              <w:t>1. Identified differences between MNE and domestic entities are not driven by other factors (e.g., productivity, economies of scale).</w:t>
            </w:r>
          </w:p>
          <w:p w14:paraId="1273A51B" w14:textId="77777777" w:rsidR="00A16955" w:rsidRPr="00D43C26" w:rsidRDefault="00A16955" w:rsidP="00F4159F">
            <w:pPr>
              <w:spacing w:after="0"/>
            </w:pPr>
            <w:r w:rsidRPr="00D43C26">
              <w:t xml:space="preserve">2. Size of the entity and industry in which it operates are sufficient absolute indicators to ensure proper comparison of an MNE to control group. </w:t>
            </w:r>
          </w:p>
        </w:tc>
      </w:tr>
      <w:tr w:rsidR="00A16955" w:rsidRPr="00D43C26" w14:paraId="29EB9AA2" w14:textId="77777777" w:rsidTr="3267F38A">
        <w:tc>
          <w:tcPr>
            <w:tcW w:w="4530" w:type="dxa"/>
            <w:gridSpan w:val="3"/>
            <w:shd w:val="clear" w:color="auto" w:fill="DEEAF6" w:themeFill="accent5" w:themeFillTint="33"/>
          </w:tcPr>
          <w:p w14:paraId="681E6FEB" w14:textId="77777777" w:rsidR="00A16955" w:rsidRPr="00D43C26" w:rsidRDefault="00A16955" w:rsidP="00F4159F">
            <w:pPr>
              <w:spacing w:after="0"/>
            </w:pPr>
            <w:r>
              <w:rPr>
                <w:noProof/>
              </w:rPr>
              <w:drawing>
                <wp:inline distT="0" distB="0" distL="0" distR="0" wp14:anchorId="6D1C75DA" wp14:editId="4F3B88F7">
                  <wp:extent cx="288000" cy="288000"/>
                  <wp:effectExtent l="0" t="0" r="0" b="0"/>
                  <wp:docPr id="40" name="Graphic 40"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0"/>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8000" cy="288000"/>
                          </a:xfrm>
                          <a:prstGeom prst="rect">
                            <a:avLst/>
                          </a:prstGeom>
                        </pic:spPr>
                      </pic:pic>
                    </a:graphicData>
                  </a:graphic>
                </wp:inline>
              </w:drawing>
            </w:r>
            <w:r w:rsidRPr="3267F38A">
              <w:rPr>
                <w:b/>
                <w:bCs/>
              </w:rPr>
              <w:t>Strengths</w:t>
            </w:r>
            <w:r>
              <w:t xml:space="preserve"> </w:t>
            </w:r>
          </w:p>
        </w:tc>
        <w:tc>
          <w:tcPr>
            <w:tcW w:w="4532" w:type="dxa"/>
            <w:gridSpan w:val="3"/>
            <w:shd w:val="clear" w:color="auto" w:fill="DEEAF6" w:themeFill="accent5" w:themeFillTint="33"/>
          </w:tcPr>
          <w:p w14:paraId="72B8784A" w14:textId="77777777" w:rsidR="00A16955" w:rsidRPr="00D43C26" w:rsidRDefault="00A16955" w:rsidP="00F4159F">
            <w:pPr>
              <w:spacing w:after="0"/>
            </w:pPr>
            <w:r>
              <w:rPr>
                <w:noProof/>
              </w:rPr>
              <w:drawing>
                <wp:inline distT="0" distB="0" distL="0" distR="0" wp14:anchorId="376FBD9A" wp14:editId="5F40DA47">
                  <wp:extent cx="288000" cy="288000"/>
                  <wp:effectExtent l="0" t="0" r="0" b="0"/>
                  <wp:docPr id="41" name="Graphic 41"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r w:rsidRPr="3267F38A">
              <w:rPr>
                <w:b/>
                <w:bCs/>
              </w:rPr>
              <w:t>Limitations</w:t>
            </w:r>
          </w:p>
        </w:tc>
      </w:tr>
      <w:tr w:rsidR="00A16955" w:rsidRPr="00D43C26" w14:paraId="00BF6C84" w14:textId="77777777" w:rsidTr="3267F38A">
        <w:tc>
          <w:tcPr>
            <w:tcW w:w="4530" w:type="dxa"/>
            <w:gridSpan w:val="3"/>
          </w:tcPr>
          <w:p w14:paraId="4E97F41F" w14:textId="77777777" w:rsidR="00A16955" w:rsidRPr="00D43C26" w:rsidRDefault="00A16955" w:rsidP="00F4159F">
            <w:pPr>
              <w:spacing w:after="0"/>
            </w:pPr>
            <w:r w:rsidRPr="00D43C26">
              <w:t>1. Firm-level microdata.</w:t>
            </w:r>
          </w:p>
          <w:p w14:paraId="367D16BD" w14:textId="087503DE" w:rsidR="00A16955" w:rsidRPr="00D43C26" w:rsidRDefault="00A16955" w:rsidP="00F4159F">
            <w:pPr>
              <w:spacing w:after="0"/>
            </w:pPr>
            <w:r w:rsidRPr="00D43C26">
              <w:t xml:space="preserve">2. It does not treat all MNEs equally in the sense </w:t>
            </w:r>
            <w:r w:rsidR="004E40C3">
              <w:t>that not</w:t>
            </w:r>
            <w:r w:rsidRPr="00D43C26">
              <w:t xml:space="preserve"> all MNEs are tax-avoiding. </w:t>
            </w:r>
          </w:p>
          <w:p w14:paraId="77DE2374" w14:textId="77777777" w:rsidR="00A16955" w:rsidRPr="00D43C26" w:rsidRDefault="00A16955" w:rsidP="00F4159F">
            <w:pPr>
              <w:spacing w:after="0"/>
            </w:pPr>
            <w:r w:rsidRPr="00D43C26">
              <w:t>3. Clear concept.</w:t>
            </w:r>
          </w:p>
        </w:tc>
        <w:tc>
          <w:tcPr>
            <w:tcW w:w="4532" w:type="dxa"/>
            <w:gridSpan w:val="3"/>
          </w:tcPr>
          <w:p w14:paraId="20030E55" w14:textId="77777777" w:rsidR="00A16955" w:rsidRPr="00D43C26" w:rsidRDefault="00A16955" w:rsidP="00F4159F">
            <w:pPr>
              <w:spacing w:after="0"/>
            </w:pPr>
            <w:r w:rsidRPr="00D43C26">
              <w:t>1. Does not distinguish aggressive tax avoidance from the overall profit shifting flows.</w:t>
            </w:r>
          </w:p>
          <w:p w14:paraId="304989A7" w14:textId="77777777" w:rsidR="00A16955" w:rsidRPr="00D43C26" w:rsidRDefault="00A16955" w:rsidP="00F4159F">
            <w:pPr>
              <w:spacing w:after="0"/>
            </w:pPr>
            <w:r w:rsidRPr="00D43C26">
              <w:t>2. Problems finding a control group of domestic firms in small economies.</w:t>
            </w:r>
          </w:p>
          <w:p w14:paraId="10329D0B" w14:textId="77777777" w:rsidR="00A16955" w:rsidRPr="00D43C26" w:rsidRDefault="00A16955" w:rsidP="00F4159F">
            <w:pPr>
              <w:spacing w:after="0"/>
            </w:pPr>
            <w:r w:rsidRPr="00D43C26">
              <w:t xml:space="preserve">3. A country is defined either as inward or outward IFFs and cannot have both flows identified (nor measured). </w:t>
            </w:r>
          </w:p>
        </w:tc>
      </w:tr>
      <w:tr w:rsidR="00A16955" w:rsidRPr="00D43C26" w14:paraId="6E85B698" w14:textId="77777777" w:rsidTr="3267F38A">
        <w:tc>
          <w:tcPr>
            <w:tcW w:w="4530" w:type="dxa"/>
            <w:gridSpan w:val="3"/>
            <w:shd w:val="clear" w:color="auto" w:fill="DEEAF6" w:themeFill="accent5" w:themeFillTint="33"/>
          </w:tcPr>
          <w:p w14:paraId="4AB2BC4D" w14:textId="77777777" w:rsidR="00A16955" w:rsidRPr="00D43C26" w:rsidRDefault="00A16955" w:rsidP="00F4159F">
            <w:pPr>
              <w:spacing w:after="0"/>
            </w:pPr>
            <w:r>
              <w:rPr>
                <w:noProof/>
              </w:rPr>
              <w:drawing>
                <wp:inline distT="0" distB="0" distL="0" distR="0" wp14:anchorId="51351686" wp14:editId="49C51D1A">
                  <wp:extent cx="288000" cy="288000"/>
                  <wp:effectExtent l="0" t="0" r="0" b="0"/>
                  <wp:docPr id="42" name="Graphic 42"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2"/>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r w:rsidRPr="3267F38A">
              <w:rPr>
                <w:b/>
                <w:bCs/>
              </w:rPr>
              <w:t>Data sources</w:t>
            </w:r>
          </w:p>
        </w:tc>
        <w:tc>
          <w:tcPr>
            <w:tcW w:w="4532" w:type="dxa"/>
            <w:gridSpan w:val="3"/>
            <w:shd w:val="clear" w:color="auto" w:fill="DEEAF6" w:themeFill="accent5" w:themeFillTint="33"/>
          </w:tcPr>
          <w:p w14:paraId="45EEA03A" w14:textId="77777777" w:rsidR="00A16955" w:rsidRPr="00D43C26" w:rsidRDefault="00A16955" w:rsidP="00F4159F">
            <w:pPr>
              <w:spacing w:after="0"/>
            </w:pPr>
            <w:r>
              <w:rPr>
                <w:noProof/>
              </w:rPr>
              <w:drawing>
                <wp:inline distT="0" distB="0" distL="0" distR="0" wp14:anchorId="37C4B713" wp14:editId="394E7861">
                  <wp:extent cx="288000" cy="288000"/>
                  <wp:effectExtent l="0" t="0" r="0" b="0"/>
                  <wp:docPr id="220" name="Graphic 220"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0"/>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r w:rsidRPr="3267F38A">
              <w:rPr>
                <w:b/>
                <w:bCs/>
              </w:rPr>
              <w:t>Mitigation of limitations</w:t>
            </w:r>
            <w:r>
              <w:t xml:space="preserve"> </w:t>
            </w:r>
          </w:p>
        </w:tc>
      </w:tr>
      <w:tr w:rsidR="00A16955" w:rsidRPr="00D43C26" w14:paraId="291661BB" w14:textId="77777777" w:rsidTr="3267F38A">
        <w:tc>
          <w:tcPr>
            <w:tcW w:w="4530" w:type="dxa"/>
            <w:gridSpan w:val="3"/>
          </w:tcPr>
          <w:p w14:paraId="1ABAEA25" w14:textId="77777777" w:rsidR="00A16955" w:rsidRPr="00D43C26" w:rsidRDefault="00A16955" w:rsidP="00F4159F">
            <w:pPr>
              <w:spacing w:after="0"/>
            </w:pPr>
            <w:r w:rsidRPr="00D43C26">
              <w:t xml:space="preserve">Firm-level microdata from: </w:t>
            </w:r>
          </w:p>
          <w:p w14:paraId="0FB549E9" w14:textId="77777777" w:rsidR="00A16955" w:rsidRPr="00D43C26" w:rsidRDefault="00A16955" w:rsidP="00F4159F">
            <w:pPr>
              <w:spacing w:after="0"/>
            </w:pPr>
            <w:r w:rsidRPr="00D43C26">
              <w:t>1. Structural business statisics,</w:t>
            </w:r>
          </w:p>
          <w:p w14:paraId="38E13986" w14:textId="77777777" w:rsidR="00A16955" w:rsidRPr="00D43C26" w:rsidRDefault="00A16955" w:rsidP="00F4159F">
            <w:pPr>
              <w:spacing w:after="0"/>
            </w:pPr>
            <w:r w:rsidRPr="00D43C26">
              <w:t>2. International trade statistics,</w:t>
            </w:r>
          </w:p>
          <w:p w14:paraId="3368A744" w14:textId="7385719E" w:rsidR="00A16955" w:rsidRPr="00D43C26" w:rsidRDefault="00A16955" w:rsidP="00F4159F">
            <w:pPr>
              <w:spacing w:after="0"/>
            </w:pPr>
            <w:r w:rsidRPr="00D43C26">
              <w:t>3. Position of national firms within MNE</w:t>
            </w:r>
            <w:r w:rsidR="00CF71F2">
              <w:t xml:space="preserve">s </w:t>
            </w:r>
            <w:r w:rsidRPr="00D43C26">
              <w:t>(national or regional Groups register).</w:t>
            </w:r>
          </w:p>
          <w:p w14:paraId="50E5B085" w14:textId="77777777" w:rsidR="00A16955" w:rsidRPr="00D43C26" w:rsidRDefault="00A16955" w:rsidP="00F4159F">
            <w:pPr>
              <w:spacing w:after="0"/>
            </w:pPr>
            <w:r w:rsidRPr="00D43C26">
              <w:t>4. FATS.</w:t>
            </w:r>
          </w:p>
          <w:p w14:paraId="16B1CFD6" w14:textId="77777777" w:rsidR="00A16955" w:rsidRPr="00D43C26" w:rsidRDefault="00A16955" w:rsidP="00F4159F">
            <w:pPr>
              <w:spacing w:after="0"/>
            </w:pPr>
            <w:r w:rsidRPr="00D43C26">
              <w:t>5. LCUs.</w:t>
            </w:r>
          </w:p>
        </w:tc>
        <w:tc>
          <w:tcPr>
            <w:tcW w:w="4532" w:type="dxa"/>
            <w:gridSpan w:val="3"/>
          </w:tcPr>
          <w:p w14:paraId="3E7EFF56" w14:textId="6164A3F9" w:rsidR="00A16955" w:rsidRPr="00D43C26" w:rsidRDefault="00A16955" w:rsidP="00F4159F">
            <w:pPr>
              <w:spacing w:after="0"/>
            </w:pPr>
            <w:r w:rsidRPr="00D43C26">
              <w:t>Detailed and additional data (e.g., include size of assets) and interpret results in the context of the particular MNE units' role within MNE, its activity (industry) and overall country's economic environment (including effective tax rates).</w:t>
            </w:r>
          </w:p>
        </w:tc>
      </w:tr>
      <w:tr w:rsidR="00A16955" w:rsidRPr="00D43C26" w14:paraId="300D97F5" w14:textId="77777777" w:rsidTr="3267F38A">
        <w:tc>
          <w:tcPr>
            <w:tcW w:w="9062" w:type="dxa"/>
            <w:gridSpan w:val="6"/>
            <w:shd w:val="clear" w:color="auto" w:fill="DEEAF6" w:themeFill="accent5" w:themeFillTint="33"/>
          </w:tcPr>
          <w:p w14:paraId="5AB01474" w14:textId="77777777" w:rsidR="00A16955" w:rsidRPr="00D43C26" w:rsidRDefault="00A16955" w:rsidP="00F4159F">
            <w:pPr>
              <w:spacing w:after="0"/>
            </w:pPr>
            <w:r>
              <w:rPr>
                <w:noProof/>
              </w:rPr>
              <w:drawing>
                <wp:inline distT="0" distB="0" distL="0" distR="0" wp14:anchorId="514DA9E7" wp14:editId="527BAEDE">
                  <wp:extent cx="288000" cy="288000"/>
                  <wp:effectExtent l="0" t="0" r="0" b="0"/>
                  <wp:docPr id="45" name="Graphic 45"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r w:rsidRPr="3267F38A">
              <w:rPr>
                <w:b/>
                <w:bCs/>
              </w:rPr>
              <w:t>Calculation</w:t>
            </w:r>
            <w:r w:rsidRPr="3267F38A">
              <w:rPr>
                <w:noProof/>
              </w:rPr>
              <w:t xml:space="preserve"> </w:t>
            </w:r>
          </w:p>
        </w:tc>
      </w:tr>
      <w:tr w:rsidR="00A16955" w:rsidRPr="00D43C26" w14:paraId="502B9BF4" w14:textId="77777777" w:rsidTr="3267F38A">
        <w:tc>
          <w:tcPr>
            <w:tcW w:w="9062" w:type="dxa"/>
            <w:gridSpan w:val="6"/>
          </w:tcPr>
          <w:p w14:paraId="148B6879" w14:textId="77777777" w:rsidR="00A16955" w:rsidRPr="00D43C26" w:rsidRDefault="00A16955" w:rsidP="00F4159F">
            <w:pPr>
              <w:spacing w:after="0"/>
            </w:pPr>
            <w:r w:rsidRPr="00D43C26">
              <w:t xml:space="preserve">1. Phase zero of exploring country's inward or outward IFFs nature. </w:t>
            </w:r>
          </w:p>
          <w:p w14:paraId="4333B4F6" w14:textId="77777777" w:rsidR="00A16955" w:rsidRPr="00D43C26" w:rsidRDefault="00A16955" w:rsidP="00F4159F">
            <w:pPr>
              <w:spacing w:after="0"/>
            </w:pPr>
            <w:r w:rsidRPr="00D43C26">
              <w:t>2. Identification phase, between comparison (apply PS).</w:t>
            </w:r>
          </w:p>
          <w:p w14:paraId="31B21464" w14:textId="77777777" w:rsidR="00A16955" w:rsidRPr="00D43C26" w:rsidRDefault="00A16955" w:rsidP="00F4159F">
            <w:pPr>
              <w:spacing w:after="0"/>
            </w:pPr>
            <w:r w:rsidRPr="00D43C26">
              <w:t>3. Identification phase, within comparison: obtain composite indicator by factor analysis.</w:t>
            </w:r>
          </w:p>
          <w:p w14:paraId="17C4FDB2" w14:textId="77777777" w:rsidR="00A16955" w:rsidRPr="00D43C26" w:rsidRDefault="00A16955" w:rsidP="00F4159F">
            <w:pPr>
              <w:spacing w:after="0"/>
            </w:pPr>
            <w:r w:rsidRPr="00D43C26">
              <w:t xml:space="preserve">4. Identification phase, within comparison: Logit model using composite indicator to obtain proxy (0,1). </w:t>
            </w:r>
          </w:p>
          <w:p w14:paraId="7B45666F" w14:textId="77777777" w:rsidR="00A16955" w:rsidRPr="00D43C26" w:rsidRDefault="00A16955" w:rsidP="00F4159F">
            <w:pPr>
              <w:spacing w:after="0"/>
            </w:pPr>
            <w:r w:rsidRPr="00D43C26">
              <w:t xml:space="preserve">5. Identification phase, within comparison: threshold observation is obtained. </w:t>
            </w:r>
          </w:p>
          <w:p w14:paraId="3077A92F" w14:textId="77777777" w:rsidR="00A16955" w:rsidRPr="00D43C26" w:rsidRDefault="00A16955" w:rsidP="00F4159F">
            <w:pPr>
              <w:spacing w:after="0"/>
            </w:pPr>
            <w:r w:rsidRPr="00D43C26">
              <w:t xml:space="preserve">6. Identification phase, within comparison: classify MNEs into tax avoiding and non-tax avoiding. </w:t>
            </w:r>
          </w:p>
          <w:p w14:paraId="79A24976" w14:textId="77777777" w:rsidR="00A16955" w:rsidRPr="00D43C26" w:rsidRDefault="00A16955" w:rsidP="00F4159F">
            <w:pPr>
              <w:spacing w:after="0"/>
            </w:pPr>
            <w:r w:rsidRPr="00D43C26">
              <w:t>7. Measurement phase: calculate adjusted value of EBIT-to-turnover ratio for each MNE.</w:t>
            </w:r>
          </w:p>
          <w:p w14:paraId="61E92874" w14:textId="77777777" w:rsidR="00A16955" w:rsidRPr="00D43C26" w:rsidRDefault="00A16955" w:rsidP="00F4159F">
            <w:pPr>
              <w:spacing w:after="0"/>
            </w:pPr>
            <w:r w:rsidRPr="00D43C26">
              <w:t>8. Calculate IFF for each MNE.</w:t>
            </w:r>
          </w:p>
          <w:p w14:paraId="48C1DC42" w14:textId="77777777" w:rsidR="00A16955" w:rsidRPr="00D43C26" w:rsidRDefault="00A16955" w:rsidP="00F4159F">
            <w:pPr>
              <w:spacing w:after="0"/>
            </w:pPr>
            <w:r w:rsidRPr="00D43C26">
              <w:t>9. Aggregate to obtain total IFFs in a country (inward or outward - see special note).</w:t>
            </w:r>
          </w:p>
        </w:tc>
      </w:tr>
      <w:tr w:rsidR="00A16955" w:rsidRPr="00D43C26" w14:paraId="1B88A934" w14:textId="77777777" w:rsidTr="3267F38A">
        <w:tc>
          <w:tcPr>
            <w:tcW w:w="9062" w:type="dxa"/>
            <w:gridSpan w:val="6"/>
            <w:shd w:val="clear" w:color="auto" w:fill="DEEAF6" w:themeFill="accent5" w:themeFillTint="33"/>
          </w:tcPr>
          <w:p w14:paraId="340AC086" w14:textId="77777777" w:rsidR="00A16955" w:rsidRPr="00D43C26" w:rsidRDefault="00A16955" w:rsidP="00F4159F">
            <w:pPr>
              <w:spacing w:after="0"/>
            </w:pPr>
            <w:r>
              <w:rPr>
                <w:noProof/>
              </w:rPr>
              <w:lastRenderedPageBreak/>
              <w:drawing>
                <wp:inline distT="0" distB="0" distL="0" distR="0" wp14:anchorId="4AA58694" wp14:editId="59F70CF1">
                  <wp:extent cx="288000" cy="288000"/>
                  <wp:effectExtent l="0" t="0" r="0" b="0"/>
                  <wp:docPr id="46" name="Graphic 46"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6"/>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r w:rsidRPr="3267F38A">
              <w:rPr>
                <w:b/>
                <w:bCs/>
              </w:rPr>
              <w:t>Results</w:t>
            </w:r>
          </w:p>
        </w:tc>
      </w:tr>
      <w:tr w:rsidR="00A16955" w:rsidRPr="00D43C26" w14:paraId="15B16611" w14:textId="77777777" w:rsidTr="3267F38A">
        <w:tc>
          <w:tcPr>
            <w:tcW w:w="9062" w:type="dxa"/>
            <w:gridSpan w:val="6"/>
          </w:tcPr>
          <w:p w14:paraId="64CFDF2B" w14:textId="77777777" w:rsidR="00A16955" w:rsidRPr="00D43C26" w:rsidRDefault="00A16955" w:rsidP="00F4159F">
            <w:pPr>
              <w:spacing w:after="0"/>
            </w:pPr>
            <w:r w:rsidRPr="00D43C26">
              <w:t>Results are presented for a total economy on an annual level: only either inward or outward IFFs.</w:t>
            </w:r>
          </w:p>
        </w:tc>
      </w:tr>
      <w:tr w:rsidR="00A16955" w:rsidRPr="00D43C26" w14:paraId="4DA69115" w14:textId="77777777" w:rsidTr="3267F38A">
        <w:tc>
          <w:tcPr>
            <w:tcW w:w="9062" w:type="dxa"/>
            <w:gridSpan w:val="6"/>
            <w:shd w:val="clear" w:color="auto" w:fill="DEEAF6" w:themeFill="accent5" w:themeFillTint="33"/>
          </w:tcPr>
          <w:p w14:paraId="51A54DCD" w14:textId="77777777" w:rsidR="00A16955" w:rsidRPr="00D43C26" w:rsidRDefault="00A16955" w:rsidP="00F4159F">
            <w:pPr>
              <w:spacing w:after="0"/>
            </w:pPr>
            <w:r>
              <w:rPr>
                <w:noProof/>
              </w:rPr>
              <w:drawing>
                <wp:inline distT="0" distB="0" distL="0" distR="0" wp14:anchorId="74054A64" wp14:editId="76584E51">
                  <wp:extent cx="288000" cy="288000"/>
                  <wp:effectExtent l="0" t="0" r="0" b="0"/>
                  <wp:docPr id="47" name="Graphic 47"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7"/>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8000" cy="288000"/>
                          </a:xfrm>
                          <a:prstGeom prst="rect">
                            <a:avLst/>
                          </a:prstGeom>
                        </pic:spPr>
                      </pic:pic>
                    </a:graphicData>
                  </a:graphic>
                </wp:inline>
              </w:drawing>
            </w:r>
            <w:r w:rsidRPr="3267F38A">
              <w:rPr>
                <w:b/>
                <w:bCs/>
              </w:rPr>
              <w:t>Special note(s)</w:t>
            </w:r>
            <w:r w:rsidRPr="3267F38A">
              <w:rPr>
                <w:noProof/>
              </w:rPr>
              <w:t xml:space="preserve"> </w:t>
            </w:r>
          </w:p>
        </w:tc>
      </w:tr>
      <w:tr w:rsidR="00A16955" w:rsidRPr="00D43C26" w14:paraId="6E4FD844" w14:textId="77777777" w:rsidTr="3267F38A">
        <w:tc>
          <w:tcPr>
            <w:tcW w:w="9062" w:type="dxa"/>
            <w:gridSpan w:val="6"/>
          </w:tcPr>
          <w:p w14:paraId="0A18A3C8" w14:textId="77777777" w:rsidR="00A16955" w:rsidRPr="00D43C26" w:rsidRDefault="00A16955" w:rsidP="00F4159F">
            <w:pPr>
              <w:spacing w:after="0"/>
            </w:pPr>
            <w:r w:rsidRPr="00D43C26">
              <w:t>Prior analysis is required to start the model for either inward or outward IFFs. A country cannot have both flows identified or measured with this method.</w:t>
            </w:r>
          </w:p>
        </w:tc>
      </w:tr>
      <w:tr w:rsidR="00A16955" w:rsidRPr="00D43C26" w14:paraId="17BA0280" w14:textId="77777777" w:rsidTr="3267F38A">
        <w:tc>
          <w:tcPr>
            <w:tcW w:w="9062" w:type="dxa"/>
            <w:gridSpan w:val="6"/>
            <w:shd w:val="clear" w:color="auto" w:fill="DEEAF6" w:themeFill="accent5" w:themeFillTint="33"/>
          </w:tcPr>
          <w:p w14:paraId="082893C8" w14:textId="77777777" w:rsidR="00A16955" w:rsidRPr="00D43C26" w:rsidRDefault="00A16955" w:rsidP="00F4159F">
            <w:pPr>
              <w:spacing w:after="0"/>
            </w:pPr>
            <w:r>
              <w:rPr>
                <w:noProof/>
              </w:rPr>
              <w:drawing>
                <wp:inline distT="0" distB="0" distL="0" distR="0" wp14:anchorId="509123C2" wp14:editId="7177B384">
                  <wp:extent cx="288000" cy="288000"/>
                  <wp:effectExtent l="0" t="0" r="0" b="0"/>
                  <wp:docPr id="48" name="Graphic 48"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r w:rsidRPr="3267F38A">
              <w:rPr>
                <w:b/>
                <w:bCs/>
              </w:rPr>
              <w:t>Case studies</w:t>
            </w:r>
          </w:p>
        </w:tc>
      </w:tr>
      <w:tr w:rsidR="00A16955" w:rsidRPr="00D43C26" w14:paraId="2C9A9E40" w14:textId="77777777" w:rsidTr="3267F38A">
        <w:tc>
          <w:tcPr>
            <w:tcW w:w="9062" w:type="dxa"/>
            <w:gridSpan w:val="6"/>
          </w:tcPr>
          <w:p w14:paraId="55FEADBC" w14:textId="77777777" w:rsidR="00A16955" w:rsidRPr="00D43C26" w:rsidRDefault="00A16955" w:rsidP="00F4159F">
            <w:pPr>
              <w:spacing w:after="0"/>
            </w:pPr>
            <w:r w:rsidRPr="00D43C26">
              <w:t>1. Indicators of profit shifting by MNEs in Canada (Fortier-Labonté and Schaffter, 2019).</w:t>
            </w:r>
          </w:p>
          <w:p w14:paraId="265BD8D8" w14:textId="0C0DF52B" w:rsidR="00A16955" w:rsidRPr="00D43C26" w:rsidRDefault="00A16955" w:rsidP="00F4159F">
            <w:pPr>
              <w:spacing w:after="0"/>
            </w:pPr>
            <w:r w:rsidRPr="00D43C26">
              <w:t xml:space="preserve">2. Profit shifting in Italy (Sallusti, </w:t>
            </w:r>
            <w:r w:rsidRPr="00CF71F2">
              <w:t>202</w:t>
            </w:r>
            <w:r w:rsidR="00960096">
              <w:t>1</w:t>
            </w:r>
            <w:r w:rsidRPr="00CF71F2">
              <w:t>).</w:t>
            </w:r>
          </w:p>
        </w:tc>
      </w:tr>
    </w:tbl>
    <w:p w14:paraId="42B5D78A" w14:textId="77777777" w:rsidR="00A16955" w:rsidRPr="00D43C26" w:rsidRDefault="00A16955" w:rsidP="00A16955"/>
    <w:p w14:paraId="551A9E40" w14:textId="77777777" w:rsidR="00A16955" w:rsidRPr="00D43C26" w:rsidRDefault="00A16955" w:rsidP="00A16955"/>
    <w:p w14:paraId="7935E446" w14:textId="77777777" w:rsidR="00A16955" w:rsidRPr="00D43C26" w:rsidRDefault="00A16955" w:rsidP="00A16955">
      <w:r w:rsidRPr="00D43C2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A16955" w:rsidRPr="00D43C26" w14:paraId="73B758FA" w14:textId="77777777" w:rsidTr="3267F38A">
        <w:tc>
          <w:tcPr>
            <w:tcW w:w="2265" w:type="dxa"/>
            <w:tcBorders>
              <w:right w:val="nil"/>
            </w:tcBorders>
            <w:shd w:val="clear" w:color="auto" w:fill="DEEAF6" w:themeFill="accent5" w:themeFillTint="33"/>
          </w:tcPr>
          <w:p w14:paraId="23834845" w14:textId="77777777" w:rsidR="00A16955" w:rsidRPr="00D43C26" w:rsidRDefault="00A16955" w:rsidP="00CE280F">
            <w:pPr>
              <w:spacing w:after="0"/>
            </w:pPr>
            <w:r w:rsidRPr="00D43C26">
              <w:rPr>
                <w:b/>
                <w:bCs/>
              </w:rPr>
              <w:lastRenderedPageBreak/>
              <w:t>Method fact sheet</w:t>
            </w:r>
          </w:p>
        </w:tc>
        <w:tc>
          <w:tcPr>
            <w:tcW w:w="6797" w:type="dxa"/>
            <w:gridSpan w:val="5"/>
            <w:tcBorders>
              <w:left w:val="nil"/>
            </w:tcBorders>
            <w:shd w:val="clear" w:color="auto" w:fill="DEEAF6" w:themeFill="accent5" w:themeFillTint="33"/>
          </w:tcPr>
          <w:p w14:paraId="7E7835D6" w14:textId="4A8D16D5" w:rsidR="00A16955" w:rsidRPr="00D43C26" w:rsidRDefault="00A16955" w:rsidP="00CE280F">
            <w:pPr>
              <w:spacing w:after="0"/>
              <w:jc w:val="right"/>
              <w:rPr>
                <w:b/>
                <w:bCs/>
              </w:rPr>
            </w:pPr>
            <w:r w:rsidRPr="00D43C26">
              <w:rPr>
                <w:b/>
                <w:bCs/>
              </w:rPr>
              <w:t xml:space="preserve">METHODOLOGICAL GUIDELINES </w:t>
            </w:r>
            <w:r w:rsidR="00A1784C">
              <w:rPr>
                <w:b/>
                <w:bCs/>
              </w:rPr>
              <w:t>TO MEASURE</w:t>
            </w:r>
            <w:r w:rsidR="00A1784C" w:rsidRPr="00D43C26">
              <w:rPr>
                <w:b/>
                <w:bCs/>
              </w:rPr>
              <w:t xml:space="preserve"> </w:t>
            </w:r>
          </w:p>
          <w:p w14:paraId="64B64A7A" w14:textId="77777777" w:rsidR="00A16955" w:rsidRPr="00D43C26" w:rsidRDefault="00A16955" w:rsidP="00CE280F">
            <w:pPr>
              <w:spacing w:after="0"/>
              <w:jc w:val="right"/>
              <w:rPr>
                <w:b/>
                <w:bCs/>
              </w:rPr>
            </w:pPr>
            <w:r w:rsidRPr="00D43C26">
              <w:rPr>
                <w:b/>
                <w:bCs/>
              </w:rPr>
              <w:t xml:space="preserve">TAX AND COMMERCIAL ILLICIT FINANCIAL FLOWS </w:t>
            </w:r>
          </w:p>
          <w:p w14:paraId="40540E5A" w14:textId="77777777" w:rsidR="00A16955" w:rsidRPr="00D43C26" w:rsidRDefault="00A16955" w:rsidP="00CE280F">
            <w:pPr>
              <w:spacing w:after="0"/>
              <w:jc w:val="right"/>
              <w:rPr>
                <w:b/>
                <w:bCs/>
                <w:sz w:val="20"/>
                <w:szCs w:val="20"/>
              </w:rPr>
            </w:pPr>
            <w:r w:rsidRPr="00D43C26">
              <w:rPr>
                <w:b/>
                <w:bCs/>
                <w:sz w:val="20"/>
                <w:szCs w:val="20"/>
              </w:rPr>
              <w:t>Methods for pilot testing</w:t>
            </w:r>
          </w:p>
        </w:tc>
      </w:tr>
      <w:tr w:rsidR="00A16955" w:rsidRPr="00D43C26" w14:paraId="69AD7D39" w14:textId="77777777" w:rsidTr="3267F38A">
        <w:tc>
          <w:tcPr>
            <w:tcW w:w="2405" w:type="dxa"/>
            <w:gridSpan w:val="2"/>
            <w:shd w:val="clear" w:color="auto" w:fill="DEEAF6" w:themeFill="accent5" w:themeFillTint="33"/>
          </w:tcPr>
          <w:p w14:paraId="5BDD5732" w14:textId="77777777" w:rsidR="00A16955" w:rsidRPr="00D43C26" w:rsidRDefault="00A16955" w:rsidP="00CE280F">
            <w:pPr>
              <w:spacing w:after="0"/>
              <w:rPr>
                <w:b/>
                <w:bCs/>
              </w:rPr>
            </w:pPr>
            <w:r w:rsidRPr="00D43C26">
              <w:rPr>
                <w:b/>
                <w:bCs/>
              </w:rPr>
              <w:t>Method title</w:t>
            </w:r>
          </w:p>
        </w:tc>
        <w:tc>
          <w:tcPr>
            <w:tcW w:w="6657" w:type="dxa"/>
            <w:gridSpan w:val="4"/>
          </w:tcPr>
          <w:p w14:paraId="5566F40D" w14:textId="497190E9" w:rsidR="00A16955" w:rsidRPr="00D43C26" w:rsidRDefault="00A16955" w:rsidP="00CE280F">
            <w:pPr>
              <w:spacing w:after="0"/>
            </w:pPr>
            <w:r w:rsidRPr="00D43C26">
              <w:t xml:space="preserve">#5 Flows </w:t>
            </w:r>
            <w:r w:rsidR="0034642F">
              <w:t>of</w:t>
            </w:r>
            <w:r w:rsidRPr="00D43C26">
              <w:t xml:space="preserve"> undeclared offshore assets indicator</w:t>
            </w:r>
          </w:p>
        </w:tc>
      </w:tr>
      <w:tr w:rsidR="00A16955" w:rsidRPr="00D43C26" w14:paraId="1A91E0AF" w14:textId="77777777" w:rsidTr="3267F38A">
        <w:tc>
          <w:tcPr>
            <w:tcW w:w="2405" w:type="dxa"/>
            <w:gridSpan w:val="2"/>
            <w:shd w:val="clear" w:color="auto" w:fill="DEEAF6" w:themeFill="accent5" w:themeFillTint="33"/>
          </w:tcPr>
          <w:p w14:paraId="3FA9E021" w14:textId="77777777" w:rsidR="00A16955" w:rsidRPr="00D43C26" w:rsidRDefault="00A16955" w:rsidP="00CE280F">
            <w:pPr>
              <w:spacing w:after="0"/>
              <w:rPr>
                <w:b/>
                <w:bCs/>
              </w:rPr>
            </w:pPr>
            <w:r w:rsidRPr="00D43C26">
              <w:rPr>
                <w:b/>
                <w:bCs/>
              </w:rPr>
              <w:t>Alternative title(s)</w:t>
            </w:r>
          </w:p>
        </w:tc>
        <w:tc>
          <w:tcPr>
            <w:tcW w:w="6657" w:type="dxa"/>
            <w:gridSpan w:val="4"/>
          </w:tcPr>
          <w:p w14:paraId="73082575" w14:textId="77777777" w:rsidR="00A16955" w:rsidRPr="00D43C26" w:rsidRDefault="00A16955" w:rsidP="00CE280F">
            <w:pPr>
              <w:spacing w:after="0"/>
            </w:pPr>
          </w:p>
        </w:tc>
      </w:tr>
      <w:tr w:rsidR="00A16955" w:rsidRPr="00D43C26" w14:paraId="53014A4D" w14:textId="77777777" w:rsidTr="3267F38A">
        <w:tc>
          <w:tcPr>
            <w:tcW w:w="2405" w:type="dxa"/>
            <w:gridSpan w:val="2"/>
            <w:shd w:val="clear" w:color="auto" w:fill="DEEAF6" w:themeFill="accent5" w:themeFillTint="33"/>
          </w:tcPr>
          <w:p w14:paraId="696551B1" w14:textId="77777777" w:rsidR="00A16955" w:rsidRPr="00D43C26" w:rsidRDefault="00A16955" w:rsidP="00CE280F">
            <w:pPr>
              <w:spacing w:after="0"/>
              <w:rPr>
                <w:b/>
                <w:bCs/>
              </w:rPr>
            </w:pPr>
            <w:r w:rsidRPr="00D43C26">
              <w:rPr>
                <w:b/>
                <w:bCs/>
              </w:rPr>
              <w:t>Method group</w:t>
            </w:r>
          </w:p>
        </w:tc>
        <w:tc>
          <w:tcPr>
            <w:tcW w:w="6657" w:type="dxa"/>
            <w:gridSpan w:val="4"/>
          </w:tcPr>
          <w:p w14:paraId="6EFBF560" w14:textId="3BABE98F" w:rsidR="00A16955" w:rsidRPr="00D43C26" w:rsidRDefault="0034642F" w:rsidP="00CE280F">
            <w:pPr>
              <w:spacing w:after="0"/>
            </w:pPr>
            <w:r w:rsidRPr="009A2BCF">
              <w:t>Transfer of wealth to evade taxes by individuals</w:t>
            </w:r>
          </w:p>
        </w:tc>
      </w:tr>
      <w:tr w:rsidR="00A16955" w:rsidRPr="00D43C26" w14:paraId="6E800F01" w14:textId="77777777" w:rsidTr="3267F38A">
        <w:tc>
          <w:tcPr>
            <w:tcW w:w="2405" w:type="dxa"/>
            <w:gridSpan w:val="2"/>
            <w:shd w:val="clear" w:color="auto" w:fill="DEEAF6" w:themeFill="accent5" w:themeFillTint="33"/>
          </w:tcPr>
          <w:p w14:paraId="738C517F" w14:textId="5B9F760B" w:rsidR="00A16955" w:rsidRPr="00D43C26" w:rsidRDefault="00A16955" w:rsidP="00CE280F">
            <w:pPr>
              <w:spacing w:after="0"/>
              <w:rPr>
                <w:b/>
                <w:bCs/>
              </w:rPr>
            </w:pPr>
            <w:r w:rsidRPr="00D43C26">
              <w:rPr>
                <w:b/>
                <w:bCs/>
              </w:rPr>
              <w:t xml:space="preserve">Targeted IFFs </w:t>
            </w:r>
            <w:r w:rsidR="001306A4" w:rsidRPr="00D43C26">
              <w:rPr>
                <w:b/>
                <w:bCs/>
              </w:rPr>
              <w:t>flow type</w:t>
            </w:r>
          </w:p>
        </w:tc>
        <w:tc>
          <w:tcPr>
            <w:tcW w:w="3827" w:type="dxa"/>
            <w:gridSpan w:val="2"/>
          </w:tcPr>
          <w:p w14:paraId="691F7A0F" w14:textId="4CCA5353" w:rsidR="00A16955" w:rsidRPr="00D43C26" w:rsidRDefault="001306A4" w:rsidP="00CE280F">
            <w:pPr>
              <w:spacing w:after="0"/>
            </w:pPr>
            <w:r w:rsidRPr="00D43C26">
              <w:t>F</w:t>
            </w:r>
            <w:r w:rsidR="00A16955" w:rsidRPr="00D43C26">
              <w:t>1 Transfer of wealth to evade taxes</w:t>
            </w:r>
          </w:p>
        </w:tc>
        <w:tc>
          <w:tcPr>
            <w:tcW w:w="1985" w:type="dxa"/>
            <w:shd w:val="clear" w:color="auto" w:fill="DEEAF6" w:themeFill="accent5" w:themeFillTint="33"/>
          </w:tcPr>
          <w:p w14:paraId="779A7447" w14:textId="16CFEE24" w:rsidR="00A16955" w:rsidRPr="00D43C26" w:rsidRDefault="00A16955" w:rsidP="00CE280F">
            <w:pPr>
              <w:spacing w:after="0"/>
              <w:rPr>
                <w:b/>
                <w:bCs/>
              </w:rPr>
            </w:pPr>
            <w:r w:rsidRPr="00D43C26">
              <w:rPr>
                <w:b/>
                <w:bCs/>
              </w:rPr>
              <w:t xml:space="preserve">Tier </w:t>
            </w:r>
            <w:r w:rsidR="002B3759" w:rsidRPr="00D43C26">
              <w:rPr>
                <w:b/>
                <w:bCs/>
              </w:rPr>
              <w:t>classification</w:t>
            </w:r>
          </w:p>
        </w:tc>
        <w:tc>
          <w:tcPr>
            <w:tcW w:w="845" w:type="dxa"/>
          </w:tcPr>
          <w:p w14:paraId="7B6BB808" w14:textId="77777777" w:rsidR="00A16955" w:rsidRPr="00D43C26" w:rsidRDefault="00A16955" w:rsidP="00CE280F">
            <w:pPr>
              <w:spacing w:after="0"/>
            </w:pPr>
            <w:r w:rsidRPr="00D43C26">
              <w:t>Tier 3</w:t>
            </w:r>
          </w:p>
        </w:tc>
      </w:tr>
      <w:tr w:rsidR="00A16955" w:rsidRPr="00D43C26" w14:paraId="5CC5541E" w14:textId="77777777" w:rsidTr="3267F38A">
        <w:tc>
          <w:tcPr>
            <w:tcW w:w="9062" w:type="dxa"/>
            <w:gridSpan w:val="6"/>
            <w:shd w:val="clear" w:color="auto" w:fill="DEEAF6" w:themeFill="accent5" w:themeFillTint="33"/>
          </w:tcPr>
          <w:p w14:paraId="41CC7C32" w14:textId="77777777" w:rsidR="00A16955" w:rsidRPr="00D43C26" w:rsidRDefault="00A16955" w:rsidP="00CE280F">
            <w:pPr>
              <w:spacing w:after="0"/>
            </w:pPr>
            <w:r>
              <w:rPr>
                <w:noProof/>
              </w:rPr>
              <w:drawing>
                <wp:inline distT="0" distB="0" distL="0" distR="0" wp14:anchorId="38078D85" wp14:editId="1FE4585B">
                  <wp:extent cx="288000" cy="288000"/>
                  <wp:effectExtent l="0" t="0" r="0" b="0"/>
                  <wp:docPr id="49" name="Graphic 49"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9"/>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r w:rsidRPr="3267F38A">
              <w:rPr>
                <w:b/>
                <w:bCs/>
              </w:rPr>
              <w:t>Concept</w:t>
            </w:r>
            <w:r w:rsidRPr="3267F38A">
              <w:rPr>
                <w:noProof/>
              </w:rPr>
              <w:t xml:space="preserve"> </w:t>
            </w:r>
          </w:p>
        </w:tc>
      </w:tr>
      <w:tr w:rsidR="00A16955" w:rsidRPr="00D43C26" w14:paraId="37141DD7" w14:textId="77777777" w:rsidTr="3267F38A">
        <w:tc>
          <w:tcPr>
            <w:tcW w:w="9062" w:type="dxa"/>
            <w:gridSpan w:val="6"/>
          </w:tcPr>
          <w:p w14:paraId="1938E774" w14:textId="77777777" w:rsidR="00A16955" w:rsidRPr="00D43C26" w:rsidRDefault="00A16955" w:rsidP="00CE280F">
            <w:pPr>
              <w:spacing w:after="0"/>
            </w:pPr>
            <w:r w:rsidRPr="00D43C26">
              <w:t>The method measures the excess of the value of citizens’ assets declared by countries, over the value declared by citizens themselves for tax purposes.</w:t>
            </w:r>
          </w:p>
        </w:tc>
      </w:tr>
      <w:tr w:rsidR="00A16955" w:rsidRPr="00D43C26" w14:paraId="64250049" w14:textId="77777777" w:rsidTr="3267F38A">
        <w:tc>
          <w:tcPr>
            <w:tcW w:w="9062" w:type="dxa"/>
            <w:gridSpan w:val="6"/>
            <w:shd w:val="clear" w:color="auto" w:fill="DEEAF6" w:themeFill="accent5" w:themeFillTint="33"/>
          </w:tcPr>
          <w:p w14:paraId="19C98CA3" w14:textId="77777777" w:rsidR="00A16955" w:rsidRPr="00D43C26" w:rsidRDefault="00A16955" w:rsidP="00CE280F">
            <w:pPr>
              <w:spacing w:after="0"/>
            </w:pPr>
            <w:r>
              <w:rPr>
                <w:noProof/>
              </w:rPr>
              <w:drawing>
                <wp:inline distT="0" distB="0" distL="0" distR="0" wp14:anchorId="18AF21D3" wp14:editId="2E083EA9">
                  <wp:extent cx="288000" cy="288000"/>
                  <wp:effectExtent l="0" t="0" r="0" b="0"/>
                  <wp:docPr id="50" name="Graphic 50"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r w:rsidRPr="3267F38A">
              <w:rPr>
                <w:b/>
                <w:bCs/>
              </w:rPr>
              <w:t>Assumptions</w:t>
            </w:r>
          </w:p>
        </w:tc>
      </w:tr>
      <w:tr w:rsidR="00A16955" w:rsidRPr="00D43C26" w14:paraId="60827CDD" w14:textId="77777777" w:rsidTr="3267F38A">
        <w:tc>
          <w:tcPr>
            <w:tcW w:w="9062" w:type="dxa"/>
            <w:gridSpan w:val="6"/>
          </w:tcPr>
          <w:p w14:paraId="7A88DDC3" w14:textId="77777777" w:rsidR="00A16955" w:rsidRPr="00D43C26" w:rsidRDefault="00A16955" w:rsidP="00CE280F">
            <w:pPr>
              <w:spacing w:after="0"/>
            </w:pPr>
            <w:r w:rsidRPr="00D43C26">
              <w:t xml:space="preserve">1. Measured discrepancy can be attributed to IFFs alone. </w:t>
            </w:r>
          </w:p>
          <w:p w14:paraId="6FB07B99" w14:textId="77777777" w:rsidR="00A16955" w:rsidRPr="00D43C26" w:rsidRDefault="00A16955" w:rsidP="00CE280F">
            <w:pPr>
              <w:spacing w:after="0"/>
            </w:pPr>
            <w:r w:rsidRPr="00D43C26">
              <w:t xml:space="preserve">2. Difference between two subsequent stock measures is considered the corresponding flow. </w:t>
            </w:r>
          </w:p>
        </w:tc>
      </w:tr>
      <w:tr w:rsidR="00A16955" w:rsidRPr="00D43C26" w14:paraId="5A2B4709" w14:textId="77777777" w:rsidTr="3267F38A">
        <w:tc>
          <w:tcPr>
            <w:tcW w:w="4530" w:type="dxa"/>
            <w:gridSpan w:val="3"/>
            <w:shd w:val="clear" w:color="auto" w:fill="DEEAF6" w:themeFill="accent5" w:themeFillTint="33"/>
          </w:tcPr>
          <w:p w14:paraId="08FD13DD" w14:textId="77777777" w:rsidR="00A16955" w:rsidRPr="00D43C26" w:rsidRDefault="00A16955" w:rsidP="00CE280F">
            <w:pPr>
              <w:spacing w:after="0"/>
            </w:pPr>
            <w:r>
              <w:rPr>
                <w:noProof/>
              </w:rPr>
              <w:drawing>
                <wp:inline distT="0" distB="0" distL="0" distR="0" wp14:anchorId="5D491339" wp14:editId="1F7E5FD7">
                  <wp:extent cx="288000" cy="288000"/>
                  <wp:effectExtent l="0" t="0" r="0" b="0"/>
                  <wp:docPr id="51" name="Graphic 51"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8000" cy="288000"/>
                          </a:xfrm>
                          <a:prstGeom prst="rect">
                            <a:avLst/>
                          </a:prstGeom>
                        </pic:spPr>
                      </pic:pic>
                    </a:graphicData>
                  </a:graphic>
                </wp:inline>
              </w:drawing>
            </w:r>
            <w:r w:rsidRPr="3267F38A">
              <w:rPr>
                <w:b/>
                <w:bCs/>
              </w:rPr>
              <w:t>Strengths</w:t>
            </w:r>
            <w:r>
              <w:t xml:space="preserve"> </w:t>
            </w:r>
          </w:p>
        </w:tc>
        <w:tc>
          <w:tcPr>
            <w:tcW w:w="4532" w:type="dxa"/>
            <w:gridSpan w:val="3"/>
            <w:shd w:val="clear" w:color="auto" w:fill="DEEAF6" w:themeFill="accent5" w:themeFillTint="33"/>
          </w:tcPr>
          <w:p w14:paraId="6FEFB623" w14:textId="77777777" w:rsidR="00A16955" w:rsidRPr="00D43C26" w:rsidRDefault="00A16955" w:rsidP="00CE280F">
            <w:pPr>
              <w:spacing w:after="0"/>
            </w:pPr>
            <w:r>
              <w:rPr>
                <w:noProof/>
              </w:rPr>
              <w:drawing>
                <wp:inline distT="0" distB="0" distL="0" distR="0" wp14:anchorId="005666CF" wp14:editId="5D14EB70">
                  <wp:extent cx="288000" cy="288000"/>
                  <wp:effectExtent l="0" t="0" r="0" b="0"/>
                  <wp:docPr id="221" name="Graphic 221"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r w:rsidRPr="3267F38A">
              <w:rPr>
                <w:b/>
                <w:bCs/>
              </w:rPr>
              <w:t>Limitations</w:t>
            </w:r>
          </w:p>
        </w:tc>
      </w:tr>
      <w:tr w:rsidR="00A16955" w:rsidRPr="00D43C26" w14:paraId="0403BA2F" w14:textId="77777777" w:rsidTr="3267F38A">
        <w:tc>
          <w:tcPr>
            <w:tcW w:w="4530" w:type="dxa"/>
            <w:gridSpan w:val="3"/>
          </w:tcPr>
          <w:p w14:paraId="49511AE1" w14:textId="77777777" w:rsidR="00A16955" w:rsidRPr="00D43C26" w:rsidRDefault="00A16955" w:rsidP="00CE280F">
            <w:pPr>
              <w:spacing w:after="0"/>
            </w:pPr>
            <w:r w:rsidRPr="00D43C26">
              <w:t>1. Relatively straightforward to calculate the offshore wealth.</w:t>
            </w:r>
          </w:p>
        </w:tc>
        <w:tc>
          <w:tcPr>
            <w:tcW w:w="4532" w:type="dxa"/>
            <w:gridSpan w:val="3"/>
          </w:tcPr>
          <w:p w14:paraId="4781182F" w14:textId="77777777" w:rsidR="00A16955" w:rsidRPr="00D43C26" w:rsidRDefault="00A16955" w:rsidP="00CE280F">
            <w:pPr>
              <w:spacing w:after="0"/>
            </w:pPr>
            <w:r w:rsidRPr="00D43C26">
              <w:t xml:space="preserve">1. Macro approach. </w:t>
            </w:r>
          </w:p>
          <w:p w14:paraId="3E8992E0" w14:textId="77777777" w:rsidR="00A16955" w:rsidRPr="00D43C26" w:rsidRDefault="00A16955" w:rsidP="00CE280F">
            <w:pPr>
              <w:spacing w:after="0"/>
            </w:pPr>
            <w:r w:rsidRPr="00D43C26">
              <w:t>2. Overlap with other categories of IFFs.</w:t>
            </w:r>
          </w:p>
          <w:p w14:paraId="3ED46002" w14:textId="77777777" w:rsidR="00A16955" w:rsidRPr="00D43C26" w:rsidRDefault="00A16955" w:rsidP="00CE280F">
            <w:pPr>
              <w:spacing w:after="0"/>
            </w:pPr>
            <w:r w:rsidRPr="00D43C26">
              <w:t>3. Requires transformation of stock to flow measure.</w:t>
            </w:r>
          </w:p>
          <w:p w14:paraId="74741540" w14:textId="77777777" w:rsidR="00A16955" w:rsidRPr="00D43C26" w:rsidRDefault="00A16955" w:rsidP="00CE280F">
            <w:pPr>
              <w:spacing w:after="0"/>
            </w:pPr>
            <w:r w:rsidRPr="00D43C26">
              <w:t>4. Consumption of wealth is not considered.</w:t>
            </w:r>
          </w:p>
          <w:p w14:paraId="24602100" w14:textId="77777777" w:rsidR="00A16955" w:rsidRPr="00D43C26" w:rsidRDefault="00A16955" w:rsidP="00CE280F">
            <w:pPr>
              <w:spacing w:after="0"/>
            </w:pPr>
            <w:r w:rsidRPr="00D43C26">
              <w:t>5. Certain asset classes (e.g., art, real estate, or cryptocurrencies) are not considered.</w:t>
            </w:r>
          </w:p>
          <w:p w14:paraId="16DED472" w14:textId="77777777" w:rsidR="00A16955" w:rsidRPr="00D43C26" w:rsidRDefault="00A16955" w:rsidP="00CE280F">
            <w:pPr>
              <w:spacing w:after="0"/>
            </w:pPr>
            <w:r w:rsidRPr="00D43C26">
              <w:t xml:space="preserve">6. Data (un)availability. </w:t>
            </w:r>
          </w:p>
          <w:p w14:paraId="7D88CBEA" w14:textId="77777777" w:rsidR="00A16955" w:rsidRPr="00D43C26" w:rsidRDefault="00A16955" w:rsidP="00CE280F">
            <w:pPr>
              <w:spacing w:after="0"/>
            </w:pPr>
            <w:r w:rsidRPr="00D43C26">
              <w:t>7. Produces only outward IFFs under certain circumstances.</w:t>
            </w:r>
          </w:p>
        </w:tc>
      </w:tr>
      <w:tr w:rsidR="00A16955" w:rsidRPr="00D43C26" w14:paraId="2E0ECAEF" w14:textId="77777777" w:rsidTr="3267F38A">
        <w:tc>
          <w:tcPr>
            <w:tcW w:w="4530" w:type="dxa"/>
            <w:gridSpan w:val="3"/>
            <w:shd w:val="clear" w:color="auto" w:fill="DEEAF6" w:themeFill="accent5" w:themeFillTint="33"/>
          </w:tcPr>
          <w:p w14:paraId="1E0A5F63" w14:textId="77777777" w:rsidR="00A16955" w:rsidRPr="00D43C26" w:rsidRDefault="00A16955" w:rsidP="00CE280F">
            <w:pPr>
              <w:spacing w:after="0"/>
            </w:pPr>
            <w:r>
              <w:rPr>
                <w:noProof/>
              </w:rPr>
              <w:drawing>
                <wp:inline distT="0" distB="0" distL="0" distR="0" wp14:anchorId="1B800EED" wp14:editId="05233E22">
                  <wp:extent cx="288000" cy="288000"/>
                  <wp:effectExtent l="0" t="0" r="0" b="0"/>
                  <wp:docPr id="53" name="Graphic 53"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3"/>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r w:rsidRPr="3267F38A">
              <w:rPr>
                <w:b/>
                <w:bCs/>
              </w:rPr>
              <w:t>Data sources</w:t>
            </w:r>
          </w:p>
        </w:tc>
        <w:tc>
          <w:tcPr>
            <w:tcW w:w="4532" w:type="dxa"/>
            <w:gridSpan w:val="3"/>
            <w:shd w:val="clear" w:color="auto" w:fill="DEEAF6" w:themeFill="accent5" w:themeFillTint="33"/>
          </w:tcPr>
          <w:p w14:paraId="0EFA294B" w14:textId="77777777" w:rsidR="00A16955" w:rsidRPr="00D43C26" w:rsidRDefault="00A16955" w:rsidP="00CE280F">
            <w:pPr>
              <w:spacing w:after="0"/>
            </w:pPr>
            <w:r>
              <w:rPr>
                <w:noProof/>
              </w:rPr>
              <w:drawing>
                <wp:inline distT="0" distB="0" distL="0" distR="0" wp14:anchorId="37551E44" wp14:editId="28DE13FC">
                  <wp:extent cx="288000" cy="288000"/>
                  <wp:effectExtent l="0" t="0" r="0" b="0"/>
                  <wp:docPr id="56" name="Graphic 56"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6"/>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r w:rsidRPr="3267F38A">
              <w:rPr>
                <w:b/>
                <w:bCs/>
              </w:rPr>
              <w:t>Mitigation of limitations</w:t>
            </w:r>
            <w:r>
              <w:t xml:space="preserve"> </w:t>
            </w:r>
          </w:p>
        </w:tc>
      </w:tr>
      <w:tr w:rsidR="00A16955" w:rsidRPr="00D43C26" w14:paraId="69440ABF" w14:textId="77777777" w:rsidTr="3267F38A">
        <w:tc>
          <w:tcPr>
            <w:tcW w:w="4530" w:type="dxa"/>
            <w:gridSpan w:val="3"/>
          </w:tcPr>
          <w:p w14:paraId="088BFE81" w14:textId="77777777" w:rsidR="00A16955" w:rsidRPr="00D43C26" w:rsidRDefault="00A16955" w:rsidP="00CE280F">
            <w:pPr>
              <w:spacing w:after="0"/>
            </w:pPr>
            <w:r w:rsidRPr="00D43C26">
              <w:t>1. Bank of International Settlements (BIS), by location.</w:t>
            </w:r>
          </w:p>
          <w:p w14:paraId="7DAF5FDE" w14:textId="77777777" w:rsidR="00A16955" w:rsidRPr="00D43C26" w:rsidRDefault="00A16955" w:rsidP="00CE280F">
            <w:pPr>
              <w:spacing w:after="0"/>
            </w:pPr>
            <w:r w:rsidRPr="00D43C26">
              <w:t xml:space="preserve">2. OECD Common Reporting Standard. </w:t>
            </w:r>
          </w:p>
          <w:p w14:paraId="4BFDD304" w14:textId="77777777" w:rsidR="00A16955" w:rsidRPr="00D43C26" w:rsidRDefault="00A16955" w:rsidP="00CE280F">
            <w:pPr>
              <w:spacing w:after="0"/>
            </w:pPr>
            <w:r w:rsidRPr="00D43C26">
              <w:t xml:space="preserve">3. National tax authorities. </w:t>
            </w:r>
          </w:p>
        </w:tc>
        <w:tc>
          <w:tcPr>
            <w:tcW w:w="4532" w:type="dxa"/>
            <w:gridSpan w:val="3"/>
          </w:tcPr>
          <w:p w14:paraId="63951499" w14:textId="77777777" w:rsidR="00A16955" w:rsidRPr="00D43C26" w:rsidRDefault="00A16955" w:rsidP="00CE280F">
            <w:pPr>
              <w:spacing w:after="0"/>
            </w:pPr>
            <w:r w:rsidRPr="00D43C26">
              <w:t>Detailed and additional data by countries, including data exchange in safe statistical environment.</w:t>
            </w:r>
          </w:p>
        </w:tc>
      </w:tr>
      <w:tr w:rsidR="00A16955" w:rsidRPr="00D43C26" w14:paraId="79CA87A7" w14:textId="77777777" w:rsidTr="3267F38A">
        <w:tc>
          <w:tcPr>
            <w:tcW w:w="9062" w:type="dxa"/>
            <w:gridSpan w:val="6"/>
            <w:shd w:val="clear" w:color="auto" w:fill="DEEAF6" w:themeFill="accent5" w:themeFillTint="33"/>
          </w:tcPr>
          <w:p w14:paraId="725D2111" w14:textId="77777777" w:rsidR="00A16955" w:rsidRPr="00D43C26" w:rsidRDefault="00A16955" w:rsidP="00CE280F">
            <w:pPr>
              <w:spacing w:after="0"/>
            </w:pPr>
            <w:r>
              <w:rPr>
                <w:noProof/>
              </w:rPr>
              <w:drawing>
                <wp:inline distT="0" distB="0" distL="0" distR="0" wp14:anchorId="06141769" wp14:editId="2C813467">
                  <wp:extent cx="288000" cy="288000"/>
                  <wp:effectExtent l="0" t="0" r="0" b="0"/>
                  <wp:docPr id="57" name="Graphic 57"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7"/>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r w:rsidRPr="3267F38A">
              <w:rPr>
                <w:b/>
                <w:bCs/>
              </w:rPr>
              <w:t>Calculation</w:t>
            </w:r>
            <w:r w:rsidRPr="3267F38A">
              <w:rPr>
                <w:noProof/>
              </w:rPr>
              <w:t xml:space="preserve"> </w:t>
            </w:r>
          </w:p>
        </w:tc>
      </w:tr>
      <w:tr w:rsidR="00A16955" w:rsidRPr="00D43C26" w14:paraId="56678E71" w14:textId="77777777" w:rsidTr="3267F38A">
        <w:tc>
          <w:tcPr>
            <w:tcW w:w="9062" w:type="dxa"/>
            <w:gridSpan w:val="6"/>
          </w:tcPr>
          <w:p w14:paraId="69C302E2" w14:textId="77777777" w:rsidR="00A16955" w:rsidRPr="00D43C26" w:rsidRDefault="00A16955" w:rsidP="00CE280F">
            <w:pPr>
              <w:spacing w:after="0"/>
            </w:pPr>
            <w:r w:rsidRPr="00D43C26">
              <w:t>1. Calculate undeclared assets of citizens.</w:t>
            </w:r>
          </w:p>
          <w:p w14:paraId="7952839F" w14:textId="77777777" w:rsidR="00A16955" w:rsidRPr="00D43C26" w:rsidRDefault="00A16955" w:rsidP="00CE280F">
            <w:pPr>
              <w:spacing w:after="0"/>
            </w:pPr>
            <w:r w:rsidRPr="00D43C26">
              <w:t xml:space="preserve">2. Transform to flows. </w:t>
            </w:r>
          </w:p>
          <w:p w14:paraId="6D905DB3" w14:textId="77777777" w:rsidR="00A16955" w:rsidRPr="00D43C26" w:rsidRDefault="00A16955" w:rsidP="00CE280F">
            <w:pPr>
              <w:spacing w:after="0"/>
            </w:pPr>
            <w:r w:rsidRPr="00D43C26">
              <w:t xml:space="preserve">3. Determine outflows of IFFs.  </w:t>
            </w:r>
          </w:p>
        </w:tc>
      </w:tr>
      <w:tr w:rsidR="00A16955" w:rsidRPr="00D43C26" w14:paraId="1FF18A30" w14:textId="77777777" w:rsidTr="3267F38A">
        <w:tc>
          <w:tcPr>
            <w:tcW w:w="9062" w:type="dxa"/>
            <w:gridSpan w:val="6"/>
            <w:shd w:val="clear" w:color="auto" w:fill="DEEAF6" w:themeFill="accent5" w:themeFillTint="33"/>
          </w:tcPr>
          <w:p w14:paraId="5DD06CFA" w14:textId="77777777" w:rsidR="00A16955" w:rsidRPr="00D43C26" w:rsidRDefault="00A16955" w:rsidP="00CE280F">
            <w:pPr>
              <w:spacing w:after="0"/>
            </w:pPr>
            <w:r>
              <w:rPr>
                <w:noProof/>
              </w:rPr>
              <w:drawing>
                <wp:inline distT="0" distB="0" distL="0" distR="0" wp14:anchorId="6E610234" wp14:editId="6FCB6C4E">
                  <wp:extent cx="288000" cy="288000"/>
                  <wp:effectExtent l="0" t="0" r="0" b="0"/>
                  <wp:docPr id="58" name="Graphic 58"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8"/>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r w:rsidRPr="3267F38A">
              <w:rPr>
                <w:b/>
                <w:bCs/>
              </w:rPr>
              <w:t>Results</w:t>
            </w:r>
          </w:p>
        </w:tc>
      </w:tr>
      <w:tr w:rsidR="00A16955" w:rsidRPr="00D43C26" w14:paraId="47581C2C" w14:textId="77777777" w:rsidTr="3267F38A">
        <w:tc>
          <w:tcPr>
            <w:tcW w:w="9062" w:type="dxa"/>
            <w:gridSpan w:val="6"/>
          </w:tcPr>
          <w:p w14:paraId="104F2556" w14:textId="77777777" w:rsidR="00A16955" w:rsidRPr="00D43C26" w:rsidRDefault="00A16955" w:rsidP="00CE280F">
            <w:pPr>
              <w:spacing w:after="0"/>
            </w:pPr>
            <w:r w:rsidRPr="00D43C26">
              <w:t>Results are presented for a total economy on an annual level: only outward IFFs.</w:t>
            </w:r>
          </w:p>
        </w:tc>
      </w:tr>
      <w:tr w:rsidR="00A16955" w:rsidRPr="00D43C26" w14:paraId="4B04607E" w14:textId="77777777" w:rsidTr="3267F38A">
        <w:tc>
          <w:tcPr>
            <w:tcW w:w="9062" w:type="dxa"/>
            <w:gridSpan w:val="6"/>
            <w:shd w:val="clear" w:color="auto" w:fill="DEEAF6" w:themeFill="accent5" w:themeFillTint="33"/>
          </w:tcPr>
          <w:p w14:paraId="1A3DAC36" w14:textId="77777777" w:rsidR="00A16955" w:rsidRPr="00D43C26" w:rsidRDefault="00A16955" w:rsidP="00CE280F">
            <w:pPr>
              <w:spacing w:after="0"/>
            </w:pPr>
            <w:r>
              <w:rPr>
                <w:noProof/>
              </w:rPr>
              <w:drawing>
                <wp:inline distT="0" distB="0" distL="0" distR="0" wp14:anchorId="49EF8EE2" wp14:editId="7FD08028">
                  <wp:extent cx="288000" cy="288000"/>
                  <wp:effectExtent l="0" t="0" r="0" b="0"/>
                  <wp:docPr id="59" name="Graphic 59"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9"/>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8000" cy="288000"/>
                          </a:xfrm>
                          <a:prstGeom prst="rect">
                            <a:avLst/>
                          </a:prstGeom>
                        </pic:spPr>
                      </pic:pic>
                    </a:graphicData>
                  </a:graphic>
                </wp:inline>
              </w:drawing>
            </w:r>
            <w:r w:rsidRPr="3267F38A">
              <w:rPr>
                <w:b/>
                <w:bCs/>
              </w:rPr>
              <w:t>Special note(s)</w:t>
            </w:r>
            <w:r w:rsidRPr="3267F38A">
              <w:rPr>
                <w:noProof/>
              </w:rPr>
              <w:t xml:space="preserve"> </w:t>
            </w:r>
          </w:p>
        </w:tc>
      </w:tr>
      <w:tr w:rsidR="00A16955" w:rsidRPr="00D43C26" w14:paraId="6ED34FA6" w14:textId="77777777" w:rsidTr="3267F38A">
        <w:tc>
          <w:tcPr>
            <w:tcW w:w="9062" w:type="dxa"/>
            <w:gridSpan w:val="6"/>
          </w:tcPr>
          <w:p w14:paraId="01F6A98E" w14:textId="77777777" w:rsidR="00A16955" w:rsidRPr="00D43C26" w:rsidRDefault="00A16955" w:rsidP="00CE280F">
            <w:pPr>
              <w:spacing w:after="0"/>
            </w:pPr>
            <w:r w:rsidRPr="00D43C26">
              <w:t>Outflows are obtained only using assumptions and if circumstances are right. Determining inflows of IFFs using this method is not readily available.</w:t>
            </w:r>
          </w:p>
        </w:tc>
      </w:tr>
      <w:tr w:rsidR="00A16955" w:rsidRPr="00D43C26" w14:paraId="0D6A4A63" w14:textId="77777777" w:rsidTr="3267F38A">
        <w:tc>
          <w:tcPr>
            <w:tcW w:w="9062" w:type="dxa"/>
            <w:gridSpan w:val="6"/>
            <w:shd w:val="clear" w:color="auto" w:fill="DEEAF6" w:themeFill="accent5" w:themeFillTint="33"/>
          </w:tcPr>
          <w:p w14:paraId="3BA393CF" w14:textId="77777777" w:rsidR="00A16955" w:rsidRPr="00D43C26" w:rsidRDefault="00A16955" w:rsidP="00CE280F">
            <w:pPr>
              <w:spacing w:after="0"/>
            </w:pPr>
            <w:r>
              <w:rPr>
                <w:noProof/>
              </w:rPr>
              <w:drawing>
                <wp:inline distT="0" distB="0" distL="0" distR="0" wp14:anchorId="453D085A" wp14:editId="23757A01">
                  <wp:extent cx="288000" cy="288000"/>
                  <wp:effectExtent l="0" t="0" r="0" b="0"/>
                  <wp:docPr id="60" name="Graphic 60"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0"/>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r w:rsidRPr="3267F38A">
              <w:rPr>
                <w:b/>
                <w:bCs/>
              </w:rPr>
              <w:t>Case studies</w:t>
            </w:r>
          </w:p>
        </w:tc>
      </w:tr>
      <w:tr w:rsidR="00A16955" w:rsidRPr="00D43C26" w14:paraId="4364EA62" w14:textId="77777777" w:rsidTr="3267F38A">
        <w:tc>
          <w:tcPr>
            <w:tcW w:w="9062" w:type="dxa"/>
            <w:gridSpan w:val="6"/>
          </w:tcPr>
          <w:p w14:paraId="41B477CE" w14:textId="3DDE5C52" w:rsidR="00A16955" w:rsidRPr="00D43C26" w:rsidRDefault="00A16955" w:rsidP="00CE280F">
            <w:pPr>
              <w:spacing w:after="0"/>
            </w:pPr>
            <w:r w:rsidRPr="00D43C26">
              <w:t xml:space="preserve">1. </w:t>
            </w:r>
            <w:r w:rsidR="00147CBA" w:rsidRPr="00D43C26">
              <w:t xml:space="preserve">Italian cross-border bank transfers </w:t>
            </w:r>
            <w:r w:rsidRPr="00D43C26">
              <w:t>(Cassetta et al., 2014).</w:t>
            </w:r>
          </w:p>
        </w:tc>
      </w:tr>
    </w:tbl>
    <w:p w14:paraId="0CF64E44" w14:textId="77777777" w:rsidR="00A16955" w:rsidRPr="00D43C26" w:rsidRDefault="00A16955" w:rsidP="00A16955">
      <w:r w:rsidRPr="00D43C2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0"/>
        <w:gridCol w:w="2125"/>
        <w:gridCol w:w="1702"/>
        <w:gridCol w:w="1985"/>
        <w:gridCol w:w="845"/>
      </w:tblGrid>
      <w:tr w:rsidR="00A16955" w:rsidRPr="00D43C26" w14:paraId="3852CB22" w14:textId="77777777" w:rsidTr="3267F38A">
        <w:tc>
          <w:tcPr>
            <w:tcW w:w="2265" w:type="dxa"/>
            <w:tcBorders>
              <w:right w:val="nil"/>
            </w:tcBorders>
            <w:shd w:val="clear" w:color="auto" w:fill="DEEAF6" w:themeFill="accent5" w:themeFillTint="33"/>
          </w:tcPr>
          <w:p w14:paraId="60254CD6" w14:textId="77777777" w:rsidR="00A16955" w:rsidRPr="00D43C26" w:rsidRDefault="00A16955" w:rsidP="00CE280F">
            <w:pPr>
              <w:spacing w:after="0"/>
            </w:pPr>
            <w:r w:rsidRPr="00D43C26">
              <w:rPr>
                <w:b/>
                <w:bCs/>
              </w:rPr>
              <w:lastRenderedPageBreak/>
              <w:t>Method fact sheet</w:t>
            </w:r>
          </w:p>
        </w:tc>
        <w:tc>
          <w:tcPr>
            <w:tcW w:w="6797" w:type="dxa"/>
            <w:gridSpan w:val="5"/>
            <w:tcBorders>
              <w:left w:val="nil"/>
            </w:tcBorders>
            <w:shd w:val="clear" w:color="auto" w:fill="DEEAF6" w:themeFill="accent5" w:themeFillTint="33"/>
          </w:tcPr>
          <w:p w14:paraId="1201882F" w14:textId="21B1C6D1" w:rsidR="00A16955" w:rsidRPr="00D43C26" w:rsidRDefault="00A16955" w:rsidP="00CE280F">
            <w:pPr>
              <w:spacing w:after="0"/>
              <w:jc w:val="right"/>
              <w:rPr>
                <w:b/>
                <w:bCs/>
              </w:rPr>
            </w:pPr>
            <w:r w:rsidRPr="00D43C26">
              <w:rPr>
                <w:b/>
                <w:bCs/>
              </w:rPr>
              <w:t xml:space="preserve">METHODOLOGICAL GUIDELINES </w:t>
            </w:r>
            <w:r w:rsidR="00A1784C">
              <w:rPr>
                <w:b/>
                <w:bCs/>
              </w:rPr>
              <w:t>TO MEASURE</w:t>
            </w:r>
            <w:r w:rsidR="00A1784C" w:rsidRPr="00D43C26">
              <w:rPr>
                <w:b/>
                <w:bCs/>
              </w:rPr>
              <w:t xml:space="preserve"> </w:t>
            </w:r>
          </w:p>
          <w:p w14:paraId="5FD22FC4" w14:textId="77777777" w:rsidR="00A16955" w:rsidRPr="00D43C26" w:rsidRDefault="00A16955" w:rsidP="00CE280F">
            <w:pPr>
              <w:spacing w:after="0"/>
              <w:jc w:val="right"/>
              <w:rPr>
                <w:b/>
                <w:bCs/>
              </w:rPr>
            </w:pPr>
            <w:r w:rsidRPr="00D43C26">
              <w:rPr>
                <w:b/>
                <w:bCs/>
              </w:rPr>
              <w:t xml:space="preserve">TAX AND COMMERCIAL ILLICIT FINANCIAL FLOWS </w:t>
            </w:r>
          </w:p>
          <w:p w14:paraId="1D7F50FD" w14:textId="77777777" w:rsidR="00A16955" w:rsidRPr="00D43C26" w:rsidRDefault="00A16955" w:rsidP="00CE280F">
            <w:pPr>
              <w:spacing w:after="0"/>
              <w:jc w:val="right"/>
              <w:rPr>
                <w:b/>
                <w:bCs/>
                <w:sz w:val="20"/>
                <w:szCs w:val="20"/>
              </w:rPr>
            </w:pPr>
            <w:r w:rsidRPr="00D43C26">
              <w:rPr>
                <w:b/>
                <w:bCs/>
                <w:sz w:val="20"/>
                <w:szCs w:val="20"/>
              </w:rPr>
              <w:t>Methods for pilot testing</w:t>
            </w:r>
          </w:p>
        </w:tc>
      </w:tr>
      <w:tr w:rsidR="00A16955" w:rsidRPr="00D43C26" w14:paraId="31315709" w14:textId="77777777" w:rsidTr="3267F38A">
        <w:tc>
          <w:tcPr>
            <w:tcW w:w="2405" w:type="dxa"/>
            <w:gridSpan w:val="2"/>
            <w:shd w:val="clear" w:color="auto" w:fill="DEEAF6" w:themeFill="accent5" w:themeFillTint="33"/>
          </w:tcPr>
          <w:p w14:paraId="5B47AD4B" w14:textId="77777777" w:rsidR="00A16955" w:rsidRPr="00D43C26" w:rsidRDefault="00A16955" w:rsidP="00CE280F">
            <w:pPr>
              <w:spacing w:after="0"/>
              <w:rPr>
                <w:b/>
                <w:bCs/>
              </w:rPr>
            </w:pPr>
            <w:r w:rsidRPr="00D43C26">
              <w:rPr>
                <w:b/>
                <w:bCs/>
              </w:rPr>
              <w:t>Method title</w:t>
            </w:r>
          </w:p>
        </w:tc>
        <w:tc>
          <w:tcPr>
            <w:tcW w:w="6657" w:type="dxa"/>
            <w:gridSpan w:val="4"/>
          </w:tcPr>
          <w:p w14:paraId="67CFFD32" w14:textId="0E217D24" w:rsidR="00A16955" w:rsidRPr="00D43C26" w:rsidRDefault="00A16955" w:rsidP="00CE280F">
            <w:pPr>
              <w:spacing w:after="0"/>
            </w:pPr>
            <w:r w:rsidRPr="00D43C26">
              <w:t xml:space="preserve">#6 Flows </w:t>
            </w:r>
            <w:r w:rsidR="0034642F">
              <w:t>of</w:t>
            </w:r>
            <w:r w:rsidRPr="00D43C26">
              <w:t xml:space="preserve"> offshore financial wealth by country</w:t>
            </w:r>
          </w:p>
        </w:tc>
      </w:tr>
      <w:tr w:rsidR="00A16955" w:rsidRPr="00D43C26" w14:paraId="3063643C" w14:textId="77777777" w:rsidTr="3267F38A">
        <w:tc>
          <w:tcPr>
            <w:tcW w:w="2405" w:type="dxa"/>
            <w:gridSpan w:val="2"/>
            <w:shd w:val="clear" w:color="auto" w:fill="DEEAF6" w:themeFill="accent5" w:themeFillTint="33"/>
          </w:tcPr>
          <w:p w14:paraId="4CE4AF03" w14:textId="77777777" w:rsidR="00A16955" w:rsidRPr="00D43C26" w:rsidRDefault="00A16955" w:rsidP="00CE280F">
            <w:pPr>
              <w:spacing w:after="0"/>
              <w:rPr>
                <w:b/>
                <w:bCs/>
              </w:rPr>
            </w:pPr>
            <w:r w:rsidRPr="00D43C26">
              <w:rPr>
                <w:b/>
                <w:bCs/>
              </w:rPr>
              <w:t>Alternative title(s)</w:t>
            </w:r>
          </w:p>
        </w:tc>
        <w:tc>
          <w:tcPr>
            <w:tcW w:w="6657" w:type="dxa"/>
            <w:gridSpan w:val="4"/>
          </w:tcPr>
          <w:p w14:paraId="7C1AEF83" w14:textId="77777777" w:rsidR="00A16955" w:rsidRPr="00D43C26" w:rsidRDefault="00A16955" w:rsidP="00CE280F">
            <w:pPr>
              <w:spacing w:after="0"/>
            </w:pPr>
          </w:p>
        </w:tc>
      </w:tr>
      <w:tr w:rsidR="00A16955" w:rsidRPr="00D43C26" w14:paraId="4659B2AF" w14:textId="77777777" w:rsidTr="3267F38A">
        <w:tc>
          <w:tcPr>
            <w:tcW w:w="2405" w:type="dxa"/>
            <w:gridSpan w:val="2"/>
            <w:shd w:val="clear" w:color="auto" w:fill="DEEAF6" w:themeFill="accent5" w:themeFillTint="33"/>
          </w:tcPr>
          <w:p w14:paraId="70091E25" w14:textId="77777777" w:rsidR="00A16955" w:rsidRPr="00D43C26" w:rsidRDefault="00A16955" w:rsidP="00CE280F">
            <w:pPr>
              <w:spacing w:after="0"/>
              <w:rPr>
                <w:b/>
                <w:bCs/>
              </w:rPr>
            </w:pPr>
            <w:r w:rsidRPr="00D43C26">
              <w:rPr>
                <w:b/>
                <w:bCs/>
              </w:rPr>
              <w:t>Method group</w:t>
            </w:r>
          </w:p>
        </w:tc>
        <w:tc>
          <w:tcPr>
            <w:tcW w:w="6657" w:type="dxa"/>
            <w:gridSpan w:val="4"/>
          </w:tcPr>
          <w:p w14:paraId="28D6752B" w14:textId="6A9F25D9" w:rsidR="00A16955" w:rsidRPr="00D43C26" w:rsidRDefault="0034642F" w:rsidP="00CE280F">
            <w:pPr>
              <w:spacing w:after="0"/>
            </w:pPr>
            <w:r w:rsidRPr="009A2BCF">
              <w:t>Transfer of wealth to evade taxes by individuals</w:t>
            </w:r>
          </w:p>
        </w:tc>
      </w:tr>
      <w:tr w:rsidR="00A16955" w:rsidRPr="00D43C26" w14:paraId="03B56853" w14:textId="77777777" w:rsidTr="3267F38A">
        <w:tc>
          <w:tcPr>
            <w:tcW w:w="2405" w:type="dxa"/>
            <w:gridSpan w:val="2"/>
            <w:shd w:val="clear" w:color="auto" w:fill="DEEAF6" w:themeFill="accent5" w:themeFillTint="33"/>
          </w:tcPr>
          <w:p w14:paraId="7A28C906" w14:textId="1C98B038" w:rsidR="00A16955" w:rsidRPr="00D43C26" w:rsidRDefault="00A16955" w:rsidP="00CE280F">
            <w:pPr>
              <w:spacing w:after="0"/>
              <w:rPr>
                <w:b/>
                <w:bCs/>
              </w:rPr>
            </w:pPr>
            <w:r w:rsidRPr="00D43C26">
              <w:rPr>
                <w:b/>
                <w:bCs/>
              </w:rPr>
              <w:t xml:space="preserve">Targeted IFFs </w:t>
            </w:r>
            <w:r w:rsidR="001306A4" w:rsidRPr="00D43C26">
              <w:rPr>
                <w:b/>
                <w:bCs/>
              </w:rPr>
              <w:t>flow type</w:t>
            </w:r>
          </w:p>
        </w:tc>
        <w:tc>
          <w:tcPr>
            <w:tcW w:w="3827" w:type="dxa"/>
            <w:gridSpan w:val="2"/>
          </w:tcPr>
          <w:p w14:paraId="09B4E923" w14:textId="111D5472" w:rsidR="00A16955" w:rsidRPr="00D43C26" w:rsidRDefault="001306A4" w:rsidP="00CE280F">
            <w:pPr>
              <w:spacing w:after="0"/>
            </w:pPr>
            <w:r w:rsidRPr="00D43C26">
              <w:t>F</w:t>
            </w:r>
            <w:r w:rsidR="00A16955" w:rsidRPr="00D43C26">
              <w:t>1 Transfer of wealth to evade taxes</w:t>
            </w:r>
          </w:p>
        </w:tc>
        <w:tc>
          <w:tcPr>
            <w:tcW w:w="1985" w:type="dxa"/>
            <w:shd w:val="clear" w:color="auto" w:fill="DEEAF6" w:themeFill="accent5" w:themeFillTint="33"/>
          </w:tcPr>
          <w:p w14:paraId="7C60A43A" w14:textId="1E0331D9" w:rsidR="00A16955" w:rsidRPr="00D43C26" w:rsidRDefault="00A16955" w:rsidP="00CE280F">
            <w:pPr>
              <w:spacing w:after="0"/>
              <w:rPr>
                <w:b/>
                <w:bCs/>
              </w:rPr>
            </w:pPr>
            <w:r w:rsidRPr="00D43C26">
              <w:rPr>
                <w:b/>
                <w:bCs/>
              </w:rPr>
              <w:t xml:space="preserve">Tier </w:t>
            </w:r>
            <w:r w:rsidR="002B3759" w:rsidRPr="00D43C26">
              <w:rPr>
                <w:b/>
                <w:bCs/>
              </w:rPr>
              <w:t>classification</w:t>
            </w:r>
          </w:p>
        </w:tc>
        <w:tc>
          <w:tcPr>
            <w:tcW w:w="845" w:type="dxa"/>
          </w:tcPr>
          <w:p w14:paraId="22892DF9" w14:textId="77777777" w:rsidR="00A16955" w:rsidRPr="00D43C26" w:rsidRDefault="00A16955" w:rsidP="00CE280F">
            <w:pPr>
              <w:spacing w:after="0"/>
            </w:pPr>
            <w:r w:rsidRPr="00D43C26">
              <w:t>Tier 3</w:t>
            </w:r>
          </w:p>
        </w:tc>
      </w:tr>
      <w:tr w:rsidR="00A16955" w:rsidRPr="00D43C26" w14:paraId="1FF6D6E9" w14:textId="77777777" w:rsidTr="3267F38A">
        <w:tc>
          <w:tcPr>
            <w:tcW w:w="9062" w:type="dxa"/>
            <w:gridSpan w:val="6"/>
            <w:shd w:val="clear" w:color="auto" w:fill="DEEAF6" w:themeFill="accent5" w:themeFillTint="33"/>
          </w:tcPr>
          <w:p w14:paraId="616FFAD6" w14:textId="77777777" w:rsidR="00A16955" w:rsidRPr="00D43C26" w:rsidRDefault="00A16955" w:rsidP="00CE280F">
            <w:pPr>
              <w:spacing w:after="0"/>
            </w:pPr>
            <w:r>
              <w:rPr>
                <w:noProof/>
              </w:rPr>
              <w:drawing>
                <wp:inline distT="0" distB="0" distL="0" distR="0" wp14:anchorId="40D6B91B" wp14:editId="291B037C">
                  <wp:extent cx="288000" cy="288000"/>
                  <wp:effectExtent l="0" t="0" r="0" b="0"/>
                  <wp:docPr id="61" name="Graphic 61"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r w:rsidRPr="3267F38A">
              <w:rPr>
                <w:b/>
                <w:bCs/>
              </w:rPr>
              <w:t>Concept</w:t>
            </w:r>
            <w:r w:rsidRPr="3267F38A">
              <w:rPr>
                <w:noProof/>
              </w:rPr>
              <w:t xml:space="preserve"> </w:t>
            </w:r>
          </w:p>
        </w:tc>
      </w:tr>
      <w:tr w:rsidR="00A16955" w:rsidRPr="00D43C26" w14:paraId="0CA936E9" w14:textId="77777777" w:rsidTr="3267F38A">
        <w:tc>
          <w:tcPr>
            <w:tcW w:w="9062" w:type="dxa"/>
            <w:gridSpan w:val="6"/>
          </w:tcPr>
          <w:p w14:paraId="5B9F6316" w14:textId="77777777" w:rsidR="00A16955" w:rsidRPr="00D43C26" w:rsidRDefault="00A16955" w:rsidP="00CE280F">
            <w:pPr>
              <w:spacing w:after="0"/>
            </w:pPr>
            <w:r w:rsidRPr="00D43C26">
              <w:t>The method starts from global level imbalance between international portfolio liabilities and assets, assigning it to the wealth held by individuals outside their countries and unreported to the tax authorities where they are a resident. Non-compliance rate on offshore wealth is applied, followed by transformation of stock measure to flow to identify the level of illicit flows.</w:t>
            </w:r>
          </w:p>
        </w:tc>
      </w:tr>
      <w:tr w:rsidR="00A16955" w:rsidRPr="00D43C26" w14:paraId="34886310" w14:textId="77777777" w:rsidTr="3267F38A">
        <w:tc>
          <w:tcPr>
            <w:tcW w:w="9062" w:type="dxa"/>
            <w:gridSpan w:val="6"/>
            <w:shd w:val="clear" w:color="auto" w:fill="DEEAF6" w:themeFill="accent5" w:themeFillTint="33"/>
          </w:tcPr>
          <w:p w14:paraId="52AC3C0B" w14:textId="77777777" w:rsidR="00A16955" w:rsidRPr="00D43C26" w:rsidRDefault="00A16955" w:rsidP="00CE280F">
            <w:pPr>
              <w:spacing w:after="0"/>
            </w:pPr>
            <w:r>
              <w:rPr>
                <w:noProof/>
              </w:rPr>
              <w:drawing>
                <wp:inline distT="0" distB="0" distL="0" distR="0" wp14:anchorId="66DDD636" wp14:editId="7B3B8570">
                  <wp:extent cx="288000" cy="288000"/>
                  <wp:effectExtent l="0" t="0" r="0" b="0"/>
                  <wp:docPr id="62" name="Graphic 62"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2"/>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r w:rsidRPr="3267F38A">
              <w:rPr>
                <w:b/>
                <w:bCs/>
              </w:rPr>
              <w:t>Assumptions</w:t>
            </w:r>
          </w:p>
        </w:tc>
      </w:tr>
      <w:tr w:rsidR="00A16955" w:rsidRPr="00D43C26" w14:paraId="3D36F6C3" w14:textId="77777777" w:rsidTr="3267F38A">
        <w:tc>
          <w:tcPr>
            <w:tcW w:w="9062" w:type="dxa"/>
            <w:gridSpan w:val="6"/>
          </w:tcPr>
          <w:p w14:paraId="6F4D3A52" w14:textId="77777777" w:rsidR="00A16955" w:rsidRPr="00D43C26" w:rsidRDefault="00A16955" w:rsidP="00CE280F">
            <w:pPr>
              <w:spacing w:after="0"/>
            </w:pPr>
            <w:r w:rsidRPr="00D43C26">
              <w:t>1. Offshore financial wealth comprised of portfolio assets and deposits only (real estate assets, artwork, life insurance, cash money, cryptocurrencies excluded).</w:t>
            </w:r>
          </w:p>
          <w:p w14:paraId="00C35002" w14:textId="77777777" w:rsidR="00A16955" w:rsidRPr="00D43C26" w:rsidRDefault="00A16955" w:rsidP="00CE280F">
            <w:pPr>
              <w:spacing w:after="0"/>
            </w:pPr>
            <w:r w:rsidRPr="00D43C26">
              <w:t>2. Divide offshore wealth into deposits and portfolio investments with a 25% - 75% ratio.</w:t>
            </w:r>
          </w:p>
          <w:p w14:paraId="5FE105B6" w14:textId="77777777" w:rsidR="00A16955" w:rsidRPr="00D43C26" w:rsidRDefault="00A16955" w:rsidP="00CE280F">
            <w:pPr>
              <w:spacing w:after="0"/>
            </w:pPr>
            <w:r w:rsidRPr="00D43C26">
              <w:t>3. Ownership shares of cross-border deposits held by individuals in IFCs as proxies.</w:t>
            </w:r>
          </w:p>
          <w:p w14:paraId="56A4FEAB" w14:textId="77777777" w:rsidR="00A16955" w:rsidRPr="00D43C26" w:rsidRDefault="00A16955" w:rsidP="00CE280F">
            <w:pPr>
              <w:spacing w:after="0"/>
            </w:pPr>
            <w:r w:rsidRPr="00D43C26">
              <w:t>4. A country with a large outgoing FDI stock (relative to GDP) is assumed to have a large proportion of outgoing corporate deposits.</w:t>
            </w:r>
          </w:p>
          <w:p w14:paraId="12CACC7A" w14:textId="77777777" w:rsidR="00A16955" w:rsidRPr="00D43C26" w:rsidRDefault="00A16955" w:rsidP="00CE280F">
            <w:pPr>
              <w:spacing w:after="0"/>
            </w:pPr>
            <w:r w:rsidRPr="00D43C26">
              <w:t>5. Non-compliance rate is 75%.</w:t>
            </w:r>
          </w:p>
          <w:p w14:paraId="09131C72" w14:textId="77777777" w:rsidR="00A16955" w:rsidRPr="00D43C26" w:rsidRDefault="00A16955" w:rsidP="00CE280F">
            <w:pPr>
              <w:spacing w:after="0"/>
            </w:pPr>
            <w:r w:rsidRPr="00D43C26">
              <w:t xml:space="preserve">6. The difference between the value of offshore wealth in the current year and in the previous year (corrected for assets valuation) is a measure of IFFs outflows. </w:t>
            </w:r>
          </w:p>
        </w:tc>
      </w:tr>
      <w:tr w:rsidR="00A16955" w:rsidRPr="00D43C26" w14:paraId="51F1F91F" w14:textId="77777777" w:rsidTr="3267F38A">
        <w:tc>
          <w:tcPr>
            <w:tcW w:w="4530" w:type="dxa"/>
            <w:gridSpan w:val="3"/>
            <w:shd w:val="clear" w:color="auto" w:fill="DEEAF6" w:themeFill="accent5" w:themeFillTint="33"/>
          </w:tcPr>
          <w:p w14:paraId="00A57D45" w14:textId="77777777" w:rsidR="00A16955" w:rsidRPr="00D43C26" w:rsidRDefault="00A16955" w:rsidP="00CE280F">
            <w:pPr>
              <w:spacing w:after="0"/>
            </w:pPr>
            <w:r>
              <w:rPr>
                <w:noProof/>
              </w:rPr>
              <w:drawing>
                <wp:inline distT="0" distB="0" distL="0" distR="0" wp14:anchorId="43714441" wp14:editId="45AB3420">
                  <wp:extent cx="288000" cy="288000"/>
                  <wp:effectExtent l="0" t="0" r="0" b="0"/>
                  <wp:docPr id="63" name="Graphic 63" descr="Badge 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3"/>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8000" cy="288000"/>
                          </a:xfrm>
                          <a:prstGeom prst="rect">
                            <a:avLst/>
                          </a:prstGeom>
                        </pic:spPr>
                      </pic:pic>
                    </a:graphicData>
                  </a:graphic>
                </wp:inline>
              </w:drawing>
            </w:r>
            <w:r w:rsidRPr="3267F38A">
              <w:rPr>
                <w:b/>
                <w:bCs/>
              </w:rPr>
              <w:t>Strengths</w:t>
            </w:r>
            <w:r>
              <w:t xml:space="preserve"> </w:t>
            </w:r>
          </w:p>
        </w:tc>
        <w:tc>
          <w:tcPr>
            <w:tcW w:w="4532" w:type="dxa"/>
            <w:gridSpan w:val="3"/>
            <w:shd w:val="clear" w:color="auto" w:fill="DEEAF6" w:themeFill="accent5" w:themeFillTint="33"/>
          </w:tcPr>
          <w:p w14:paraId="67C37F27" w14:textId="77777777" w:rsidR="00A16955" w:rsidRPr="00D43C26" w:rsidRDefault="00A16955" w:rsidP="00CE280F">
            <w:pPr>
              <w:spacing w:after="0"/>
            </w:pPr>
            <w:r>
              <w:rPr>
                <w:noProof/>
              </w:rPr>
              <w:drawing>
                <wp:inline distT="0" distB="0" distL="0" distR="0" wp14:anchorId="196FAEE1" wp14:editId="4E626778">
                  <wp:extent cx="288000" cy="288000"/>
                  <wp:effectExtent l="0" t="0" r="0" b="0"/>
                  <wp:docPr id="195" name="Graphic 195" descr="Badge Unfoll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5"/>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r w:rsidRPr="3267F38A">
              <w:rPr>
                <w:b/>
                <w:bCs/>
              </w:rPr>
              <w:t>Limitations</w:t>
            </w:r>
          </w:p>
        </w:tc>
      </w:tr>
      <w:tr w:rsidR="00A16955" w:rsidRPr="00D43C26" w14:paraId="696CB123" w14:textId="77777777" w:rsidTr="3267F38A">
        <w:tc>
          <w:tcPr>
            <w:tcW w:w="4530" w:type="dxa"/>
            <w:gridSpan w:val="3"/>
          </w:tcPr>
          <w:p w14:paraId="4AEF0C87" w14:textId="77777777" w:rsidR="00A16955" w:rsidRPr="00D43C26" w:rsidRDefault="00A16955" w:rsidP="00CE280F">
            <w:pPr>
              <w:spacing w:after="0"/>
            </w:pPr>
            <w:r w:rsidRPr="00D43C26">
              <w:t>1. Concept starting from global level imbalance between international portfolio liabilities and assets.</w:t>
            </w:r>
          </w:p>
        </w:tc>
        <w:tc>
          <w:tcPr>
            <w:tcW w:w="4532" w:type="dxa"/>
            <w:gridSpan w:val="3"/>
          </w:tcPr>
          <w:p w14:paraId="4FC070F5" w14:textId="77777777" w:rsidR="00A16955" w:rsidRPr="00D43C26" w:rsidRDefault="00A16955" w:rsidP="00CE280F">
            <w:pPr>
              <w:spacing w:after="0"/>
            </w:pPr>
            <w:r w:rsidRPr="00D43C26">
              <w:t>1. Macro approach.</w:t>
            </w:r>
          </w:p>
          <w:p w14:paraId="24BA3FA5" w14:textId="77777777" w:rsidR="00A16955" w:rsidRPr="00D43C26" w:rsidRDefault="00A16955" w:rsidP="00CE280F">
            <w:pPr>
              <w:spacing w:after="0"/>
            </w:pPr>
            <w:r w:rsidRPr="00D43C26">
              <w:t xml:space="preserve">2. Associating deposits with their origin: various screening arrangements, e.g., shell companies, prevent direct estimation of ownership shares of undeclared offshore wealth. </w:t>
            </w:r>
          </w:p>
          <w:p w14:paraId="18287236" w14:textId="77777777" w:rsidR="00A16955" w:rsidRPr="00D43C26" w:rsidRDefault="00A16955" w:rsidP="00CE280F">
            <w:pPr>
              <w:spacing w:after="0"/>
            </w:pPr>
            <w:r w:rsidRPr="00D43C26">
              <w:t>3. Cannot distinguish cross-border deposits from individuals and those from corporations.</w:t>
            </w:r>
          </w:p>
          <w:p w14:paraId="62B25037" w14:textId="77777777" w:rsidR="00A16955" w:rsidRPr="00D43C26" w:rsidRDefault="00A16955" w:rsidP="00CE280F">
            <w:pPr>
              <w:spacing w:after="0"/>
            </w:pPr>
            <w:r w:rsidRPr="00D43C26">
              <w:t>4. Relying on various assumptions.</w:t>
            </w:r>
          </w:p>
          <w:p w14:paraId="6DBC3C92" w14:textId="77777777" w:rsidR="00A16955" w:rsidRPr="00D43C26" w:rsidRDefault="00A16955" w:rsidP="00CE280F">
            <w:pPr>
              <w:spacing w:after="0"/>
            </w:pPr>
            <w:r w:rsidRPr="00D43C26">
              <w:t>5. Produces only outward IFFs under certain circumstances.</w:t>
            </w:r>
          </w:p>
        </w:tc>
      </w:tr>
      <w:tr w:rsidR="00A16955" w:rsidRPr="00D43C26" w14:paraId="1885C240" w14:textId="77777777" w:rsidTr="3267F38A">
        <w:tc>
          <w:tcPr>
            <w:tcW w:w="4530" w:type="dxa"/>
            <w:gridSpan w:val="3"/>
            <w:shd w:val="clear" w:color="auto" w:fill="DEEAF6" w:themeFill="accent5" w:themeFillTint="33"/>
          </w:tcPr>
          <w:p w14:paraId="09D46E8D" w14:textId="77777777" w:rsidR="00A16955" w:rsidRPr="00D43C26" w:rsidRDefault="00A16955" w:rsidP="00CE280F">
            <w:pPr>
              <w:spacing w:after="0"/>
            </w:pPr>
            <w:r>
              <w:rPr>
                <w:noProof/>
              </w:rPr>
              <w:drawing>
                <wp:inline distT="0" distB="0" distL="0" distR="0" wp14:anchorId="1EB438BD" wp14:editId="1C35876E">
                  <wp:extent cx="288000" cy="288000"/>
                  <wp:effectExtent l="0" t="0" r="0" b="0"/>
                  <wp:docPr id="196" name="Graphic 196"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6"/>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r w:rsidRPr="3267F38A">
              <w:rPr>
                <w:b/>
                <w:bCs/>
              </w:rPr>
              <w:t>Data sources</w:t>
            </w:r>
          </w:p>
        </w:tc>
        <w:tc>
          <w:tcPr>
            <w:tcW w:w="4532" w:type="dxa"/>
            <w:gridSpan w:val="3"/>
            <w:shd w:val="clear" w:color="auto" w:fill="DEEAF6" w:themeFill="accent5" w:themeFillTint="33"/>
          </w:tcPr>
          <w:p w14:paraId="35A1BABD" w14:textId="77777777" w:rsidR="00A16955" w:rsidRPr="00D43C26" w:rsidRDefault="00A16955" w:rsidP="00CE280F">
            <w:pPr>
              <w:spacing w:after="0"/>
            </w:pPr>
            <w:r>
              <w:rPr>
                <w:noProof/>
              </w:rPr>
              <w:drawing>
                <wp:inline distT="0" distB="0" distL="0" distR="0" wp14:anchorId="034498E8" wp14:editId="260A42BC">
                  <wp:extent cx="288000" cy="288000"/>
                  <wp:effectExtent l="0" t="0" r="0" b="0"/>
                  <wp:docPr id="199" name="Graphic 199"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9"/>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r w:rsidRPr="3267F38A">
              <w:rPr>
                <w:b/>
                <w:bCs/>
              </w:rPr>
              <w:t>Mitigation of limitations</w:t>
            </w:r>
            <w:r>
              <w:t xml:space="preserve"> </w:t>
            </w:r>
          </w:p>
        </w:tc>
      </w:tr>
      <w:tr w:rsidR="00A16955" w:rsidRPr="00D43C26" w14:paraId="00A11E5D" w14:textId="77777777" w:rsidTr="3267F38A">
        <w:tc>
          <w:tcPr>
            <w:tcW w:w="4530" w:type="dxa"/>
            <w:gridSpan w:val="3"/>
          </w:tcPr>
          <w:p w14:paraId="5E79BFB4" w14:textId="77777777" w:rsidR="00A16955" w:rsidRPr="00D43C26" w:rsidRDefault="00A16955" w:rsidP="00CE280F">
            <w:pPr>
              <w:spacing w:after="0"/>
            </w:pPr>
            <w:r w:rsidRPr="00D43C26">
              <w:t>1. IMF's CPIS.</w:t>
            </w:r>
          </w:p>
          <w:p w14:paraId="7FBC4DE7" w14:textId="77777777" w:rsidR="00A16955" w:rsidRPr="00D43C26" w:rsidRDefault="00A16955" w:rsidP="00CE280F">
            <w:pPr>
              <w:spacing w:after="0"/>
            </w:pPr>
            <w:r w:rsidRPr="00D43C26">
              <w:t>2. IMF's IIP.</w:t>
            </w:r>
          </w:p>
          <w:p w14:paraId="76059E3C" w14:textId="77777777" w:rsidR="00A16955" w:rsidRPr="00D43C26" w:rsidRDefault="00A16955" w:rsidP="00CE280F">
            <w:pPr>
              <w:spacing w:after="0"/>
            </w:pPr>
            <w:r w:rsidRPr="00D43C26">
              <w:t>3. EWN database.</w:t>
            </w:r>
          </w:p>
          <w:p w14:paraId="509465CC" w14:textId="77777777" w:rsidR="00A16955" w:rsidRPr="00D43C26" w:rsidRDefault="00A16955" w:rsidP="00CE280F">
            <w:pPr>
              <w:spacing w:after="0"/>
            </w:pPr>
            <w:r w:rsidRPr="00D43C26">
              <w:t>4. BIS.</w:t>
            </w:r>
          </w:p>
          <w:p w14:paraId="681222A4" w14:textId="77777777" w:rsidR="00A16955" w:rsidRPr="00D43C26" w:rsidRDefault="00A16955" w:rsidP="00CE280F">
            <w:pPr>
              <w:spacing w:after="0"/>
            </w:pPr>
            <w:r w:rsidRPr="00D43C26">
              <w:t xml:space="preserve">5. Central bank of Switzerland. </w:t>
            </w:r>
          </w:p>
        </w:tc>
        <w:tc>
          <w:tcPr>
            <w:tcW w:w="4532" w:type="dxa"/>
            <w:gridSpan w:val="3"/>
          </w:tcPr>
          <w:p w14:paraId="1AC7DE1F" w14:textId="77777777" w:rsidR="00A16955" w:rsidRPr="00D43C26" w:rsidRDefault="00A16955" w:rsidP="00CE280F">
            <w:pPr>
              <w:spacing w:after="0"/>
            </w:pPr>
            <w:r w:rsidRPr="00D43C26">
              <w:t>Detailed and additional data by countries, including data exchange in safe statistical environment.</w:t>
            </w:r>
          </w:p>
        </w:tc>
      </w:tr>
      <w:tr w:rsidR="00A16955" w:rsidRPr="00D43C26" w14:paraId="3863A621" w14:textId="77777777" w:rsidTr="3267F38A">
        <w:tc>
          <w:tcPr>
            <w:tcW w:w="9062" w:type="dxa"/>
            <w:gridSpan w:val="6"/>
            <w:shd w:val="clear" w:color="auto" w:fill="DEEAF6" w:themeFill="accent5" w:themeFillTint="33"/>
          </w:tcPr>
          <w:p w14:paraId="401673C2" w14:textId="77777777" w:rsidR="00A16955" w:rsidRPr="00D43C26" w:rsidRDefault="00A16955" w:rsidP="00CE280F">
            <w:pPr>
              <w:spacing w:after="0"/>
            </w:pPr>
            <w:r>
              <w:rPr>
                <w:noProof/>
              </w:rPr>
              <w:drawing>
                <wp:inline distT="0" distB="0" distL="0" distR="0" wp14:anchorId="213FEF84" wp14:editId="55F9CF2E">
                  <wp:extent cx="288000" cy="288000"/>
                  <wp:effectExtent l="0" t="0" r="0" b="0"/>
                  <wp:docPr id="200" name="Graphic 200" descr="Abacu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0"/>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r w:rsidRPr="3267F38A">
              <w:rPr>
                <w:b/>
                <w:bCs/>
              </w:rPr>
              <w:t>Calculation</w:t>
            </w:r>
            <w:r w:rsidRPr="3267F38A">
              <w:rPr>
                <w:noProof/>
              </w:rPr>
              <w:t xml:space="preserve"> </w:t>
            </w:r>
          </w:p>
        </w:tc>
      </w:tr>
      <w:tr w:rsidR="00A16955" w:rsidRPr="00D43C26" w14:paraId="0B303CA9" w14:textId="77777777" w:rsidTr="3267F38A">
        <w:tc>
          <w:tcPr>
            <w:tcW w:w="9062" w:type="dxa"/>
            <w:gridSpan w:val="6"/>
          </w:tcPr>
          <w:p w14:paraId="61E91E52" w14:textId="77777777" w:rsidR="00A16955" w:rsidRPr="00D43C26" w:rsidRDefault="00A16955" w:rsidP="00CE280F">
            <w:pPr>
              <w:spacing w:after="0"/>
            </w:pPr>
            <w:r w:rsidRPr="00D43C26">
              <w:t xml:space="preserve">1. Estimate the global offshore financial wealth, as the sum of global offshore portfolio wealth and offshore deposits. </w:t>
            </w:r>
          </w:p>
          <w:p w14:paraId="473D23EE" w14:textId="77777777" w:rsidR="00A16955" w:rsidRPr="00D43C26" w:rsidRDefault="00A16955" w:rsidP="00CE280F">
            <w:pPr>
              <w:spacing w:after="0"/>
            </w:pPr>
            <w:r w:rsidRPr="00D43C26">
              <w:t>2. Global offshore financial wealth is broken down by country of ownership and by IFC.</w:t>
            </w:r>
          </w:p>
          <w:p w14:paraId="0F9829C5" w14:textId="77777777" w:rsidR="00A16955" w:rsidRPr="00D43C26" w:rsidRDefault="00A16955" w:rsidP="00CE280F">
            <w:pPr>
              <w:spacing w:after="0"/>
            </w:pPr>
            <w:r w:rsidRPr="00D43C26">
              <w:lastRenderedPageBreak/>
              <w:t xml:space="preserve">3. Apply non-compliance rate of 75 per cent to offshore wealth held by individuals to obtain undeclared offshore wealth. </w:t>
            </w:r>
          </w:p>
          <w:p w14:paraId="5B8728E8" w14:textId="77777777" w:rsidR="00A16955" w:rsidRPr="00D43C26" w:rsidRDefault="00A16955" w:rsidP="00CE280F">
            <w:pPr>
              <w:spacing w:after="0"/>
            </w:pPr>
            <w:r w:rsidRPr="00D43C26">
              <w:t xml:space="preserve">4. Estimate flows from stock measures. </w:t>
            </w:r>
          </w:p>
          <w:p w14:paraId="6B392AEA" w14:textId="77777777" w:rsidR="00A16955" w:rsidRPr="00D43C26" w:rsidRDefault="00A16955" w:rsidP="00CE280F">
            <w:pPr>
              <w:spacing w:after="0"/>
            </w:pPr>
            <w:r w:rsidRPr="00D43C26">
              <w:t>5. Estimate outflows of IFFs.</w:t>
            </w:r>
          </w:p>
        </w:tc>
      </w:tr>
      <w:tr w:rsidR="00A16955" w:rsidRPr="00D43C26" w14:paraId="46B9FEED" w14:textId="77777777" w:rsidTr="3267F38A">
        <w:tc>
          <w:tcPr>
            <w:tcW w:w="9062" w:type="dxa"/>
            <w:gridSpan w:val="6"/>
            <w:shd w:val="clear" w:color="auto" w:fill="DEEAF6" w:themeFill="accent5" w:themeFillTint="33"/>
          </w:tcPr>
          <w:p w14:paraId="5493D75D" w14:textId="77777777" w:rsidR="00A16955" w:rsidRPr="00D43C26" w:rsidRDefault="00A16955" w:rsidP="00CE280F">
            <w:pPr>
              <w:spacing w:after="0"/>
            </w:pPr>
            <w:r>
              <w:rPr>
                <w:noProof/>
              </w:rPr>
              <w:lastRenderedPageBreak/>
              <w:drawing>
                <wp:inline distT="0" distB="0" distL="0" distR="0" wp14:anchorId="695E51C9" wp14:editId="5E141397">
                  <wp:extent cx="288000" cy="288000"/>
                  <wp:effectExtent l="0" t="0" r="0" b="0"/>
                  <wp:docPr id="201" name="Graphic 201"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r w:rsidRPr="3267F38A">
              <w:rPr>
                <w:b/>
                <w:bCs/>
              </w:rPr>
              <w:t>Results</w:t>
            </w:r>
          </w:p>
        </w:tc>
      </w:tr>
      <w:tr w:rsidR="00A16955" w:rsidRPr="00D43C26" w14:paraId="017E5E20" w14:textId="77777777" w:rsidTr="3267F38A">
        <w:tc>
          <w:tcPr>
            <w:tcW w:w="9062" w:type="dxa"/>
            <w:gridSpan w:val="6"/>
          </w:tcPr>
          <w:p w14:paraId="68759267" w14:textId="77777777" w:rsidR="00A16955" w:rsidRPr="00D43C26" w:rsidRDefault="00A16955" w:rsidP="00CE280F">
            <w:pPr>
              <w:spacing w:after="0"/>
            </w:pPr>
            <w:r w:rsidRPr="00D43C26">
              <w:t>Results are presented for a total economy on an annual level: only outward IFFs.</w:t>
            </w:r>
          </w:p>
        </w:tc>
      </w:tr>
      <w:tr w:rsidR="00A16955" w:rsidRPr="00D43C26" w14:paraId="239B9FD8" w14:textId="77777777" w:rsidTr="3267F38A">
        <w:tc>
          <w:tcPr>
            <w:tcW w:w="9062" w:type="dxa"/>
            <w:gridSpan w:val="6"/>
            <w:shd w:val="clear" w:color="auto" w:fill="DEEAF6" w:themeFill="accent5" w:themeFillTint="33"/>
          </w:tcPr>
          <w:p w14:paraId="67EDA9E5" w14:textId="77777777" w:rsidR="00A16955" w:rsidRPr="00D43C26" w:rsidRDefault="00A16955" w:rsidP="00CE280F">
            <w:pPr>
              <w:spacing w:after="0"/>
            </w:pPr>
            <w:r>
              <w:rPr>
                <w:noProof/>
              </w:rPr>
              <w:drawing>
                <wp:inline distT="0" distB="0" distL="0" distR="0" wp14:anchorId="2765EFBB" wp14:editId="701414AE">
                  <wp:extent cx="288000" cy="288000"/>
                  <wp:effectExtent l="0" t="0" r="0" b="0"/>
                  <wp:docPr id="202" name="Graphic 202" descr="High volt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2"/>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8000" cy="288000"/>
                          </a:xfrm>
                          <a:prstGeom prst="rect">
                            <a:avLst/>
                          </a:prstGeom>
                        </pic:spPr>
                      </pic:pic>
                    </a:graphicData>
                  </a:graphic>
                </wp:inline>
              </w:drawing>
            </w:r>
            <w:r w:rsidRPr="3267F38A">
              <w:rPr>
                <w:b/>
                <w:bCs/>
              </w:rPr>
              <w:t>Special note(s)</w:t>
            </w:r>
            <w:r w:rsidRPr="3267F38A">
              <w:rPr>
                <w:noProof/>
              </w:rPr>
              <w:t xml:space="preserve"> </w:t>
            </w:r>
          </w:p>
        </w:tc>
      </w:tr>
      <w:tr w:rsidR="00A16955" w:rsidRPr="00D43C26" w14:paraId="28079E4D" w14:textId="77777777" w:rsidTr="3267F38A">
        <w:tc>
          <w:tcPr>
            <w:tcW w:w="9062" w:type="dxa"/>
            <w:gridSpan w:val="6"/>
          </w:tcPr>
          <w:p w14:paraId="244FE4C2" w14:textId="77777777" w:rsidR="00A16955" w:rsidRPr="00D43C26" w:rsidRDefault="00A16955" w:rsidP="00CE280F">
            <w:pPr>
              <w:spacing w:after="0"/>
            </w:pPr>
            <w:r w:rsidRPr="00D43C26">
              <w:t>Outflows are obtained only using assumptions and if circumstances are right. Determining inflows of IFFs using this method is not readily available.</w:t>
            </w:r>
          </w:p>
        </w:tc>
      </w:tr>
      <w:tr w:rsidR="00A16955" w:rsidRPr="00D43C26" w14:paraId="7D758F1B" w14:textId="77777777" w:rsidTr="3267F38A">
        <w:tc>
          <w:tcPr>
            <w:tcW w:w="9062" w:type="dxa"/>
            <w:gridSpan w:val="6"/>
            <w:shd w:val="clear" w:color="auto" w:fill="DEEAF6" w:themeFill="accent5" w:themeFillTint="33"/>
          </w:tcPr>
          <w:p w14:paraId="4750AFD0" w14:textId="77777777" w:rsidR="00A16955" w:rsidRPr="00D43C26" w:rsidRDefault="00A16955" w:rsidP="00CE280F">
            <w:pPr>
              <w:spacing w:after="0"/>
            </w:pPr>
            <w:r>
              <w:rPr>
                <w:noProof/>
              </w:rPr>
              <w:drawing>
                <wp:inline distT="0" distB="0" distL="0" distR="0" wp14:anchorId="0B6569EF" wp14:editId="323646BA">
                  <wp:extent cx="288000" cy="288000"/>
                  <wp:effectExtent l="0" t="0" r="0" b="0"/>
                  <wp:docPr id="203" name="Graphic 203"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3"/>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r w:rsidRPr="3267F38A">
              <w:rPr>
                <w:b/>
                <w:bCs/>
              </w:rPr>
              <w:t>Case studies</w:t>
            </w:r>
          </w:p>
        </w:tc>
      </w:tr>
      <w:tr w:rsidR="00A16955" w:rsidRPr="00D43C26" w14:paraId="007D9437" w14:textId="77777777" w:rsidTr="3267F38A">
        <w:tc>
          <w:tcPr>
            <w:tcW w:w="9062" w:type="dxa"/>
            <w:gridSpan w:val="6"/>
          </w:tcPr>
          <w:p w14:paraId="22000921" w14:textId="77777777" w:rsidR="00A16955" w:rsidRPr="00D43C26" w:rsidRDefault="00A16955" w:rsidP="00CE280F">
            <w:pPr>
              <w:spacing w:after="0"/>
            </w:pPr>
            <w:r w:rsidRPr="00D43C26">
              <w:t>1. Identifying hidden assets in the Balance of Payments by Bank of France (Gervais and Quang, 2018).</w:t>
            </w:r>
          </w:p>
          <w:p w14:paraId="766AF673" w14:textId="77777777" w:rsidR="00A16955" w:rsidRPr="00D43C26" w:rsidRDefault="00A16955" w:rsidP="00CE280F">
            <w:pPr>
              <w:spacing w:after="0"/>
            </w:pPr>
            <w:r w:rsidRPr="00D43C26">
              <w:t xml:space="preserve">2. International tax evasion on original income (European Commission, 2019). </w:t>
            </w:r>
          </w:p>
        </w:tc>
      </w:tr>
    </w:tbl>
    <w:p w14:paraId="6CABADF6" w14:textId="77777777" w:rsidR="00A16955" w:rsidRPr="00D43C26" w:rsidRDefault="00A16955" w:rsidP="00A16955"/>
    <w:p w14:paraId="1AA8BB13" w14:textId="77777777" w:rsidR="00A16955" w:rsidRDefault="00A16955" w:rsidP="00C85591">
      <w:pPr>
        <w:pStyle w:val="Heading3"/>
      </w:pPr>
    </w:p>
    <w:p w14:paraId="4743652E" w14:textId="77777777" w:rsidR="00C85591" w:rsidRDefault="00C85591" w:rsidP="00C85591"/>
    <w:sectPr w:rsidR="00C85591" w:rsidSect="00C85591">
      <w:footerReference w:type="defaul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D1B3" w14:textId="77777777" w:rsidR="003200A0" w:rsidRDefault="003200A0" w:rsidP="002870C0">
      <w:pPr>
        <w:spacing w:after="0" w:line="240" w:lineRule="auto"/>
      </w:pPr>
      <w:r>
        <w:separator/>
      </w:r>
    </w:p>
  </w:endnote>
  <w:endnote w:type="continuationSeparator" w:id="0">
    <w:p w14:paraId="0B148F47" w14:textId="77777777" w:rsidR="003200A0" w:rsidRDefault="003200A0" w:rsidP="002870C0">
      <w:pPr>
        <w:spacing w:after="0" w:line="240" w:lineRule="auto"/>
      </w:pPr>
      <w:r>
        <w:continuationSeparator/>
      </w:r>
    </w:p>
  </w:endnote>
  <w:endnote w:type="continuationNotice" w:id="1">
    <w:p w14:paraId="7A589490" w14:textId="77777777" w:rsidR="003200A0" w:rsidRDefault="00320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143922033"/>
      <w:docPartObj>
        <w:docPartGallery w:val="Page Numbers (Bottom of Page)"/>
        <w:docPartUnique/>
      </w:docPartObj>
    </w:sdtPr>
    <w:sdtEndPr>
      <w:rPr>
        <w:noProof/>
      </w:rPr>
    </w:sdtEndPr>
    <w:sdtContent>
      <w:p w14:paraId="789FC173" w14:textId="166E5748" w:rsidR="00C85591" w:rsidRPr="00C85591" w:rsidRDefault="00C85591">
        <w:pPr>
          <w:pStyle w:val="Footer"/>
          <w:jc w:val="center"/>
          <w:rPr>
            <w:i/>
            <w:iCs/>
          </w:rPr>
        </w:pPr>
        <w:r w:rsidRPr="00C85591">
          <w:rPr>
            <w:i/>
            <w:iCs/>
          </w:rPr>
          <w:fldChar w:fldCharType="begin"/>
        </w:r>
        <w:r w:rsidRPr="00C85591">
          <w:rPr>
            <w:i/>
            <w:iCs/>
          </w:rPr>
          <w:instrText xml:space="preserve"> PAGE   \* MERGEFORMAT </w:instrText>
        </w:r>
        <w:r w:rsidRPr="00C85591">
          <w:rPr>
            <w:i/>
            <w:iCs/>
          </w:rPr>
          <w:fldChar w:fldCharType="separate"/>
        </w:r>
        <w:r w:rsidRPr="00C85591">
          <w:rPr>
            <w:i/>
            <w:iCs/>
            <w:noProof/>
          </w:rPr>
          <w:t>2</w:t>
        </w:r>
        <w:r w:rsidRPr="00C85591">
          <w:rPr>
            <w:i/>
            <w:iCs/>
            <w:noProof/>
          </w:rPr>
          <w:fldChar w:fldCharType="end"/>
        </w:r>
      </w:p>
    </w:sdtContent>
  </w:sdt>
  <w:p w14:paraId="1A47ED85" w14:textId="77777777" w:rsidR="00C85591" w:rsidRPr="00C85591" w:rsidRDefault="00C85591">
    <w:pPr>
      <w:pStyle w:val="Foo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052108921"/>
      <w:docPartObj>
        <w:docPartGallery w:val="Page Numbers (Bottom of Page)"/>
        <w:docPartUnique/>
      </w:docPartObj>
    </w:sdtPr>
    <w:sdtEndPr>
      <w:rPr>
        <w:noProof/>
      </w:rPr>
    </w:sdtEndPr>
    <w:sdtContent>
      <w:p w14:paraId="361EE532" w14:textId="611A2855" w:rsidR="00A71C02" w:rsidRPr="000222E9" w:rsidRDefault="00A71C02">
        <w:pPr>
          <w:pStyle w:val="Footer"/>
          <w:jc w:val="center"/>
          <w:rPr>
            <w:i/>
            <w:iCs/>
          </w:rPr>
        </w:pPr>
        <w:r w:rsidRPr="000222E9">
          <w:rPr>
            <w:i/>
            <w:iCs/>
          </w:rPr>
          <w:fldChar w:fldCharType="begin"/>
        </w:r>
        <w:r w:rsidRPr="000222E9">
          <w:rPr>
            <w:i/>
            <w:iCs/>
          </w:rPr>
          <w:instrText xml:space="preserve"> PAGE   \* MERGEFORMAT </w:instrText>
        </w:r>
        <w:r w:rsidRPr="000222E9">
          <w:rPr>
            <w:i/>
            <w:iCs/>
          </w:rPr>
          <w:fldChar w:fldCharType="separate"/>
        </w:r>
        <w:r>
          <w:rPr>
            <w:i/>
            <w:iCs/>
            <w:noProof/>
          </w:rPr>
          <w:t>94</w:t>
        </w:r>
        <w:r w:rsidRPr="000222E9">
          <w:rPr>
            <w:i/>
            <w:iCs/>
            <w:noProof/>
          </w:rPr>
          <w:fldChar w:fldCharType="end"/>
        </w:r>
      </w:p>
    </w:sdtContent>
  </w:sdt>
  <w:p w14:paraId="5A4B89E7" w14:textId="77777777" w:rsidR="00A71C02" w:rsidRPr="000222E9" w:rsidRDefault="00A71C02">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AADF" w14:textId="77777777" w:rsidR="003200A0" w:rsidRDefault="003200A0" w:rsidP="002870C0">
      <w:pPr>
        <w:spacing w:after="0" w:line="240" w:lineRule="auto"/>
      </w:pPr>
      <w:r>
        <w:separator/>
      </w:r>
    </w:p>
  </w:footnote>
  <w:footnote w:type="continuationSeparator" w:id="0">
    <w:p w14:paraId="145B0932" w14:textId="77777777" w:rsidR="003200A0" w:rsidRDefault="003200A0" w:rsidP="002870C0">
      <w:pPr>
        <w:spacing w:after="0" w:line="240" w:lineRule="auto"/>
      </w:pPr>
      <w:r>
        <w:continuationSeparator/>
      </w:r>
    </w:p>
  </w:footnote>
  <w:footnote w:type="continuationNotice" w:id="1">
    <w:p w14:paraId="5C400C63" w14:textId="77777777" w:rsidR="003200A0" w:rsidRDefault="003200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301"/>
    <w:multiLevelType w:val="hybridMultilevel"/>
    <w:tmpl w:val="A32C4B08"/>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515A6"/>
    <w:multiLevelType w:val="hybridMultilevel"/>
    <w:tmpl w:val="C57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4157C"/>
    <w:multiLevelType w:val="hybridMultilevel"/>
    <w:tmpl w:val="DFF2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973A9"/>
    <w:multiLevelType w:val="hybridMultilevel"/>
    <w:tmpl w:val="F876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B7270"/>
    <w:multiLevelType w:val="hybridMultilevel"/>
    <w:tmpl w:val="0F324FFE"/>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F5546"/>
    <w:multiLevelType w:val="hybridMultilevel"/>
    <w:tmpl w:val="615A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37AB4"/>
    <w:multiLevelType w:val="hybridMultilevel"/>
    <w:tmpl w:val="98A80434"/>
    <w:lvl w:ilvl="0" w:tplc="53484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B3108"/>
    <w:multiLevelType w:val="multilevel"/>
    <w:tmpl w:val="9EACB3E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low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4D7314A"/>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57905BF"/>
    <w:multiLevelType w:val="hybridMultilevel"/>
    <w:tmpl w:val="7146FAC4"/>
    <w:lvl w:ilvl="0" w:tplc="A644FEB8">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5EF141C"/>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6E7619E"/>
    <w:multiLevelType w:val="hybridMultilevel"/>
    <w:tmpl w:val="48B248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4D09B6"/>
    <w:multiLevelType w:val="multilevel"/>
    <w:tmpl w:val="9948F81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0E75F5"/>
    <w:multiLevelType w:val="multilevel"/>
    <w:tmpl w:val="07140270"/>
    <w:lvl w:ilvl="0">
      <w:start w:val="1"/>
      <w:numFmt w:val="lowerRoman"/>
      <w:lvlText w:val="%1."/>
      <w:lvlJc w:val="righ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7B490F"/>
    <w:multiLevelType w:val="hybridMultilevel"/>
    <w:tmpl w:val="064E3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90207A"/>
    <w:multiLevelType w:val="hybridMultilevel"/>
    <w:tmpl w:val="21C0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772228"/>
    <w:multiLevelType w:val="hybridMultilevel"/>
    <w:tmpl w:val="6AC6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A54CD6"/>
    <w:multiLevelType w:val="hybridMultilevel"/>
    <w:tmpl w:val="EF0C2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B22B8"/>
    <w:multiLevelType w:val="hybridMultilevel"/>
    <w:tmpl w:val="866AF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520F65"/>
    <w:multiLevelType w:val="hybridMultilevel"/>
    <w:tmpl w:val="97423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A643E4"/>
    <w:multiLevelType w:val="hybridMultilevel"/>
    <w:tmpl w:val="CE067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EF23A82"/>
    <w:multiLevelType w:val="hybridMultilevel"/>
    <w:tmpl w:val="9BAEF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B5653C"/>
    <w:multiLevelType w:val="hybridMultilevel"/>
    <w:tmpl w:val="F6E4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A1347"/>
    <w:multiLevelType w:val="hybridMultilevel"/>
    <w:tmpl w:val="B26ED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EF78D5"/>
    <w:multiLevelType w:val="multilevel"/>
    <w:tmpl w:val="24F2A04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7600E4C"/>
    <w:multiLevelType w:val="hybridMultilevel"/>
    <w:tmpl w:val="7C60D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672DB1"/>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3CB07E02"/>
    <w:multiLevelType w:val="hybridMultilevel"/>
    <w:tmpl w:val="B51A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B22A6"/>
    <w:multiLevelType w:val="multilevel"/>
    <w:tmpl w:val="F9BC4832"/>
    <w:lvl w:ilvl="0">
      <w:start w:val="3"/>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403147DA"/>
    <w:multiLevelType w:val="hybridMultilevel"/>
    <w:tmpl w:val="6F28C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6D6717"/>
    <w:multiLevelType w:val="hybridMultilevel"/>
    <w:tmpl w:val="A1444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CD0EC8"/>
    <w:multiLevelType w:val="hybridMultilevel"/>
    <w:tmpl w:val="D3CA8D1E"/>
    <w:lvl w:ilvl="0" w:tplc="E4148C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36C448F"/>
    <w:multiLevelType w:val="hybridMultilevel"/>
    <w:tmpl w:val="83027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BC76C6"/>
    <w:multiLevelType w:val="hybridMultilevel"/>
    <w:tmpl w:val="8DF46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736688"/>
    <w:multiLevelType w:val="hybridMultilevel"/>
    <w:tmpl w:val="83FE0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BD0C5B"/>
    <w:multiLevelType w:val="hybridMultilevel"/>
    <w:tmpl w:val="C65EB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3114B0"/>
    <w:multiLevelType w:val="hybridMultilevel"/>
    <w:tmpl w:val="AC0CD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9737F8E"/>
    <w:multiLevelType w:val="hybridMultilevel"/>
    <w:tmpl w:val="7B0E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6928D1"/>
    <w:multiLevelType w:val="hybridMultilevel"/>
    <w:tmpl w:val="E3A26AE4"/>
    <w:lvl w:ilvl="0" w:tplc="7B084E5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89784C"/>
    <w:multiLevelType w:val="hybridMultilevel"/>
    <w:tmpl w:val="860AB8A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0" w15:restartNumberingAfterBreak="0">
    <w:nsid w:val="51474441"/>
    <w:multiLevelType w:val="hybridMultilevel"/>
    <w:tmpl w:val="97423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C81955"/>
    <w:multiLevelType w:val="hybridMultilevel"/>
    <w:tmpl w:val="F6CC7C14"/>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3721A6"/>
    <w:multiLevelType w:val="hybridMultilevel"/>
    <w:tmpl w:val="ED9AC89E"/>
    <w:lvl w:ilvl="0" w:tplc="D1C0350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5F73584"/>
    <w:multiLevelType w:val="multilevel"/>
    <w:tmpl w:val="D9F885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65B21DB"/>
    <w:multiLevelType w:val="hybridMultilevel"/>
    <w:tmpl w:val="2ECC93F6"/>
    <w:lvl w:ilvl="0" w:tplc="4BDA6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A5551"/>
    <w:multiLevelType w:val="hybridMultilevel"/>
    <w:tmpl w:val="F3C2F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B0B0A0C"/>
    <w:multiLevelType w:val="hybridMultilevel"/>
    <w:tmpl w:val="0DCA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15070A"/>
    <w:multiLevelType w:val="hybridMultilevel"/>
    <w:tmpl w:val="781C2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D137647"/>
    <w:multiLevelType w:val="hybridMultilevel"/>
    <w:tmpl w:val="62445A0C"/>
    <w:lvl w:ilvl="0" w:tplc="E3F60CCC">
      <w:start w:val="1"/>
      <w:numFmt w:val="upperRoman"/>
      <w:lvlText w:val="%1."/>
      <w:lvlJc w:val="left"/>
      <w:pPr>
        <w:ind w:left="550" w:hanging="720"/>
      </w:pPr>
      <w:rPr>
        <w:rFonts w:hint="default"/>
      </w:rPr>
    </w:lvl>
    <w:lvl w:ilvl="1" w:tplc="08090019" w:tentative="1">
      <w:start w:val="1"/>
      <w:numFmt w:val="lowerLetter"/>
      <w:lvlText w:val="%2."/>
      <w:lvlJc w:val="left"/>
      <w:pPr>
        <w:ind w:left="910" w:hanging="360"/>
      </w:pPr>
    </w:lvl>
    <w:lvl w:ilvl="2" w:tplc="0809001B" w:tentative="1">
      <w:start w:val="1"/>
      <w:numFmt w:val="lowerRoman"/>
      <w:lvlText w:val="%3."/>
      <w:lvlJc w:val="right"/>
      <w:pPr>
        <w:ind w:left="1630" w:hanging="180"/>
      </w:pPr>
    </w:lvl>
    <w:lvl w:ilvl="3" w:tplc="0809000F" w:tentative="1">
      <w:start w:val="1"/>
      <w:numFmt w:val="decimal"/>
      <w:lvlText w:val="%4."/>
      <w:lvlJc w:val="left"/>
      <w:pPr>
        <w:ind w:left="2350" w:hanging="360"/>
      </w:pPr>
    </w:lvl>
    <w:lvl w:ilvl="4" w:tplc="08090019" w:tentative="1">
      <w:start w:val="1"/>
      <w:numFmt w:val="lowerLetter"/>
      <w:lvlText w:val="%5."/>
      <w:lvlJc w:val="left"/>
      <w:pPr>
        <w:ind w:left="3070" w:hanging="360"/>
      </w:pPr>
    </w:lvl>
    <w:lvl w:ilvl="5" w:tplc="0809001B" w:tentative="1">
      <w:start w:val="1"/>
      <w:numFmt w:val="lowerRoman"/>
      <w:lvlText w:val="%6."/>
      <w:lvlJc w:val="right"/>
      <w:pPr>
        <w:ind w:left="3790" w:hanging="180"/>
      </w:pPr>
    </w:lvl>
    <w:lvl w:ilvl="6" w:tplc="0809000F" w:tentative="1">
      <w:start w:val="1"/>
      <w:numFmt w:val="decimal"/>
      <w:lvlText w:val="%7."/>
      <w:lvlJc w:val="left"/>
      <w:pPr>
        <w:ind w:left="4510" w:hanging="360"/>
      </w:pPr>
    </w:lvl>
    <w:lvl w:ilvl="7" w:tplc="08090019" w:tentative="1">
      <w:start w:val="1"/>
      <w:numFmt w:val="lowerLetter"/>
      <w:lvlText w:val="%8."/>
      <w:lvlJc w:val="left"/>
      <w:pPr>
        <w:ind w:left="5230" w:hanging="360"/>
      </w:pPr>
    </w:lvl>
    <w:lvl w:ilvl="8" w:tplc="0809001B" w:tentative="1">
      <w:start w:val="1"/>
      <w:numFmt w:val="lowerRoman"/>
      <w:lvlText w:val="%9."/>
      <w:lvlJc w:val="right"/>
      <w:pPr>
        <w:ind w:left="5950" w:hanging="180"/>
      </w:pPr>
    </w:lvl>
  </w:abstractNum>
  <w:abstractNum w:abstractNumId="49" w15:restartNumberingAfterBreak="0">
    <w:nsid w:val="5FC96CE4"/>
    <w:multiLevelType w:val="hybridMultilevel"/>
    <w:tmpl w:val="78B09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FA4CA4"/>
    <w:multiLevelType w:val="hybridMultilevel"/>
    <w:tmpl w:val="D1728CCE"/>
    <w:lvl w:ilvl="0" w:tplc="0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983F25"/>
    <w:multiLevelType w:val="hybridMultilevel"/>
    <w:tmpl w:val="8E863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D31CF8"/>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67BE1F1A"/>
    <w:multiLevelType w:val="hybridMultilevel"/>
    <w:tmpl w:val="83246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B821BC2"/>
    <w:multiLevelType w:val="hybridMultilevel"/>
    <w:tmpl w:val="25361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C182E6B"/>
    <w:multiLevelType w:val="multilevel"/>
    <w:tmpl w:val="D04C69C2"/>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6E712314"/>
    <w:multiLevelType w:val="hybridMultilevel"/>
    <w:tmpl w:val="F6A26D96"/>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EF6B1E"/>
    <w:multiLevelType w:val="hybridMultilevel"/>
    <w:tmpl w:val="33662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4AE027F"/>
    <w:multiLevelType w:val="hybridMultilevel"/>
    <w:tmpl w:val="3992EE4E"/>
    <w:lvl w:ilvl="0" w:tplc="76E0E9C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6D20AD"/>
    <w:multiLevelType w:val="hybridMultilevel"/>
    <w:tmpl w:val="55E49450"/>
    <w:lvl w:ilvl="0" w:tplc="C98ED51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C13468"/>
    <w:multiLevelType w:val="hybridMultilevel"/>
    <w:tmpl w:val="65D89322"/>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18478D"/>
    <w:multiLevelType w:val="hybridMultilevel"/>
    <w:tmpl w:val="B48CDB76"/>
    <w:lvl w:ilvl="0" w:tplc="86E0D04C">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8A76A71"/>
    <w:multiLevelType w:val="hybridMultilevel"/>
    <w:tmpl w:val="798A0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B5E19F7"/>
    <w:multiLevelType w:val="hybridMultilevel"/>
    <w:tmpl w:val="EDEC3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C8A0D5B"/>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7CE775CD"/>
    <w:multiLevelType w:val="hybridMultilevel"/>
    <w:tmpl w:val="35BA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3"/>
  </w:num>
  <w:num w:numId="3">
    <w:abstractNumId w:val="24"/>
  </w:num>
  <w:num w:numId="4">
    <w:abstractNumId w:val="40"/>
  </w:num>
  <w:num w:numId="5">
    <w:abstractNumId w:val="19"/>
  </w:num>
  <w:num w:numId="6">
    <w:abstractNumId w:val="58"/>
  </w:num>
  <w:num w:numId="7">
    <w:abstractNumId w:val="42"/>
  </w:num>
  <w:num w:numId="8">
    <w:abstractNumId w:val="49"/>
  </w:num>
  <w:num w:numId="9">
    <w:abstractNumId w:val="17"/>
  </w:num>
  <w:num w:numId="10">
    <w:abstractNumId w:val="47"/>
  </w:num>
  <w:num w:numId="11">
    <w:abstractNumId w:val="53"/>
  </w:num>
  <w:num w:numId="12">
    <w:abstractNumId w:val="35"/>
  </w:num>
  <w:num w:numId="13">
    <w:abstractNumId w:val="34"/>
  </w:num>
  <w:num w:numId="14">
    <w:abstractNumId w:val="32"/>
  </w:num>
  <w:num w:numId="15">
    <w:abstractNumId w:val="2"/>
  </w:num>
  <w:num w:numId="16">
    <w:abstractNumId w:val="1"/>
  </w:num>
  <w:num w:numId="17">
    <w:abstractNumId w:val="3"/>
  </w:num>
  <w:num w:numId="18">
    <w:abstractNumId w:val="21"/>
  </w:num>
  <w:num w:numId="19">
    <w:abstractNumId w:val="33"/>
  </w:num>
  <w:num w:numId="20">
    <w:abstractNumId w:val="15"/>
  </w:num>
  <w:num w:numId="21">
    <w:abstractNumId w:val="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4"/>
  </w:num>
  <w:num w:numId="25">
    <w:abstractNumId w:val="27"/>
  </w:num>
  <w:num w:numId="26">
    <w:abstractNumId w:val="50"/>
  </w:num>
  <w:num w:numId="27">
    <w:abstractNumId w:val="4"/>
  </w:num>
  <w:num w:numId="28">
    <w:abstractNumId w:val="56"/>
  </w:num>
  <w:num w:numId="29">
    <w:abstractNumId w:val="0"/>
  </w:num>
  <w:num w:numId="30">
    <w:abstractNumId w:val="60"/>
  </w:num>
  <w:num w:numId="31">
    <w:abstractNumId w:val="41"/>
  </w:num>
  <w:num w:numId="32">
    <w:abstractNumId w:val="37"/>
  </w:num>
  <w:num w:numId="33">
    <w:abstractNumId w:val="25"/>
  </w:num>
  <w:num w:numId="34">
    <w:abstractNumId w:val="65"/>
  </w:num>
  <w:num w:numId="35">
    <w:abstractNumId w:val="46"/>
  </w:num>
  <w:num w:numId="36">
    <w:abstractNumId w:val="51"/>
  </w:num>
  <w:num w:numId="37">
    <w:abstractNumId w:val="31"/>
  </w:num>
  <w:num w:numId="38">
    <w:abstractNumId w:val="29"/>
  </w:num>
  <w:num w:numId="39">
    <w:abstractNumId w:val="44"/>
  </w:num>
  <w:num w:numId="40">
    <w:abstractNumId w:val="6"/>
  </w:num>
  <w:num w:numId="41">
    <w:abstractNumId w:val="22"/>
  </w:num>
  <w:num w:numId="42">
    <w:abstractNumId w:val="61"/>
  </w:num>
  <w:num w:numId="43">
    <w:abstractNumId w:val="9"/>
  </w:num>
  <w:num w:numId="44">
    <w:abstractNumId w:val="7"/>
  </w:num>
  <w:num w:numId="45">
    <w:abstractNumId w:val="10"/>
  </w:num>
  <w:num w:numId="46">
    <w:abstractNumId w:val="13"/>
  </w:num>
  <w:num w:numId="47">
    <w:abstractNumId w:val="55"/>
  </w:num>
  <w:num w:numId="48">
    <w:abstractNumId w:val="12"/>
  </w:num>
  <w:num w:numId="49">
    <w:abstractNumId w:val="26"/>
  </w:num>
  <w:num w:numId="50">
    <w:abstractNumId w:val="64"/>
  </w:num>
  <w:num w:numId="51">
    <w:abstractNumId w:val="38"/>
  </w:num>
  <w:num w:numId="52">
    <w:abstractNumId w:val="8"/>
  </w:num>
  <w:num w:numId="53">
    <w:abstractNumId w:val="63"/>
  </w:num>
  <w:num w:numId="54">
    <w:abstractNumId w:val="52"/>
  </w:num>
  <w:num w:numId="55">
    <w:abstractNumId w:val="48"/>
  </w:num>
  <w:num w:numId="56">
    <w:abstractNumId w:val="16"/>
  </w:num>
  <w:num w:numId="57">
    <w:abstractNumId w:val="18"/>
  </w:num>
  <w:num w:numId="58">
    <w:abstractNumId w:val="45"/>
  </w:num>
  <w:num w:numId="59">
    <w:abstractNumId w:val="23"/>
  </w:num>
  <w:num w:numId="60">
    <w:abstractNumId w:val="30"/>
  </w:num>
  <w:num w:numId="61">
    <w:abstractNumId w:val="59"/>
  </w:num>
  <w:num w:numId="62">
    <w:abstractNumId w:val="36"/>
  </w:num>
  <w:num w:numId="63">
    <w:abstractNumId w:val="54"/>
  </w:num>
  <w:num w:numId="64">
    <w:abstractNumId w:val="62"/>
  </w:num>
  <w:num w:numId="65">
    <w:abstractNumId w:val="57"/>
  </w:num>
  <w:num w:numId="66">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C0"/>
    <w:rsid w:val="00000119"/>
    <w:rsid w:val="000001FC"/>
    <w:rsid w:val="00000615"/>
    <w:rsid w:val="00000646"/>
    <w:rsid w:val="00000D45"/>
    <w:rsid w:val="00001737"/>
    <w:rsid w:val="00001ECD"/>
    <w:rsid w:val="00002437"/>
    <w:rsid w:val="00002ADE"/>
    <w:rsid w:val="00002BE2"/>
    <w:rsid w:val="00002E11"/>
    <w:rsid w:val="00002F40"/>
    <w:rsid w:val="000034AA"/>
    <w:rsid w:val="00003614"/>
    <w:rsid w:val="000037AF"/>
    <w:rsid w:val="00003D7C"/>
    <w:rsid w:val="00004594"/>
    <w:rsid w:val="000048A0"/>
    <w:rsid w:val="0000504F"/>
    <w:rsid w:val="0000528E"/>
    <w:rsid w:val="000052C4"/>
    <w:rsid w:val="00006171"/>
    <w:rsid w:val="000061DE"/>
    <w:rsid w:val="00006C22"/>
    <w:rsid w:val="00006C78"/>
    <w:rsid w:val="00006FC0"/>
    <w:rsid w:val="0000731E"/>
    <w:rsid w:val="000076A4"/>
    <w:rsid w:val="00007C09"/>
    <w:rsid w:val="00011817"/>
    <w:rsid w:val="00011B71"/>
    <w:rsid w:val="00012101"/>
    <w:rsid w:val="00012CE1"/>
    <w:rsid w:val="00013049"/>
    <w:rsid w:val="000131D9"/>
    <w:rsid w:val="000133BD"/>
    <w:rsid w:val="00013AF0"/>
    <w:rsid w:val="00013BA8"/>
    <w:rsid w:val="00013F25"/>
    <w:rsid w:val="00014744"/>
    <w:rsid w:val="00015854"/>
    <w:rsid w:val="00015B58"/>
    <w:rsid w:val="00016C90"/>
    <w:rsid w:val="00017758"/>
    <w:rsid w:val="00017843"/>
    <w:rsid w:val="00020586"/>
    <w:rsid w:val="00020756"/>
    <w:rsid w:val="00020ACA"/>
    <w:rsid w:val="0002113B"/>
    <w:rsid w:val="000211F2"/>
    <w:rsid w:val="00021ED1"/>
    <w:rsid w:val="00022294"/>
    <w:rsid w:val="000222E9"/>
    <w:rsid w:val="00022AC5"/>
    <w:rsid w:val="000233FF"/>
    <w:rsid w:val="00023DA6"/>
    <w:rsid w:val="00023FA0"/>
    <w:rsid w:val="00024B3F"/>
    <w:rsid w:val="00024E34"/>
    <w:rsid w:val="00025047"/>
    <w:rsid w:val="000250A1"/>
    <w:rsid w:val="000250D2"/>
    <w:rsid w:val="00025833"/>
    <w:rsid w:val="0002592B"/>
    <w:rsid w:val="00025CA4"/>
    <w:rsid w:val="00025DC0"/>
    <w:rsid w:val="00026768"/>
    <w:rsid w:val="00026D2C"/>
    <w:rsid w:val="00026F08"/>
    <w:rsid w:val="00026F28"/>
    <w:rsid w:val="000271BC"/>
    <w:rsid w:val="00027B7C"/>
    <w:rsid w:val="00027CA9"/>
    <w:rsid w:val="00027E37"/>
    <w:rsid w:val="00030165"/>
    <w:rsid w:val="00030656"/>
    <w:rsid w:val="000306A4"/>
    <w:rsid w:val="0003090F"/>
    <w:rsid w:val="00030C03"/>
    <w:rsid w:val="00030EED"/>
    <w:rsid w:val="00031008"/>
    <w:rsid w:val="00031256"/>
    <w:rsid w:val="000313B1"/>
    <w:rsid w:val="00031480"/>
    <w:rsid w:val="00031523"/>
    <w:rsid w:val="00031707"/>
    <w:rsid w:val="000317C2"/>
    <w:rsid w:val="00031B3B"/>
    <w:rsid w:val="00032B1A"/>
    <w:rsid w:val="00032B70"/>
    <w:rsid w:val="00032E0D"/>
    <w:rsid w:val="000333CD"/>
    <w:rsid w:val="0003351D"/>
    <w:rsid w:val="00033BCF"/>
    <w:rsid w:val="00033D05"/>
    <w:rsid w:val="000343B6"/>
    <w:rsid w:val="00034731"/>
    <w:rsid w:val="0003495D"/>
    <w:rsid w:val="00034E98"/>
    <w:rsid w:val="000352B0"/>
    <w:rsid w:val="000354C0"/>
    <w:rsid w:val="00035BC6"/>
    <w:rsid w:val="00035DF1"/>
    <w:rsid w:val="00036132"/>
    <w:rsid w:val="00036BED"/>
    <w:rsid w:val="00036E01"/>
    <w:rsid w:val="00036FD3"/>
    <w:rsid w:val="0003708F"/>
    <w:rsid w:val="000371E8"/>
    <w:rsid w:val="00037584"/>
    <w:rsid w:val="0003778A"/>
    <w:rsid w:val="00037D3B"/>
    <w:rsid w:val="00037D9B"/>
    <w:rsid w:val="00040096"/>
    <w:rsid w:val="00040175"/>
    <w:rsid w:val="0004019F"/>
    <w:rsid w:val="0004039B"/>
    <w:rsid w:val="0004061A"/>
    <w:rsid w:val="00040C9B"/>
    <w:rsid w:val="00040DF8"/>
    <w:rsid w:val="00040EF5"/>
    <w:rsid w:val="00040FAD"/>
    <w:rsid w:val="00041032"/>
    <w:rsid w:val="00041108"/>
    <w:rsid w:val="000411D9"/>
    <w:rsid w:val="000412EC"/>
    <w:rsid w:val="000418D3"/>
    <w:rsid w:val="000418F8"/>
    <w:rsid w:val="00041CC1"/>
    <w:rsid w:val="000428D1"/>
    <w:rsid w:val="00042E3F"/>
    <w:rsid w:val="00042FA4"/>
    <w:rsid w:val="000433FC"/>
    <w:rsid w:val="000435D5"/>
    <w:rsid w:val="0004362C"/>
    <w:rsid w:val="00043A34"/>
    <w:rsid w:val="00043A7E"/>
    <w:rsid w:val="00043BB2"/>
    <w:rsid w:val="0004445D"/>
    <w:rsid w:val="00044AEE"/>
    <w:rsid w:val="00044E2E"/>
    <w:rsid w:val="0004567D"/>
    <w:rsid w:val="00045EA9"/>
    <w:rsid w:val="00045FCB"/>
    <w:rsid w:val="00046BF0"/>
    <w:rsid w:val="00046E09"/>
    <w:rsid w:val="0004720A"/>
    <w:rsid w:val="000473DE"/>
    <w:rsid w:val="0004744A"/>
    <w:rsid w:val="000474D4"/>
    <w:rsid w:val="00047942"/>
    <w:rsid w:val="00047E54"/>
    <w:rsid w:val="00050B53"/>
    <w:rsid w:val="000519D4"/>
    <w:rsid w:val="00052C28"/>
    <w:rsid w:val="00052DFD"/>
    <w:rsid w:val="000531DF"/>
    <w:rsid w:val="000535B5"/>
    <w:rsid w:val="00053A6E"/>
    <w:rsid w:val="00053B8E"/>
    <w:rsid w:val="000541F5"/>
    <w:rsid w:val="00054422"/>
    <w:rsid w:val="000551E7"/>
    <w:rsid w:val="00055B8D"/>
    <w:rsid w:val="00055D73"/>
    <w:rsid w:val="0005621C"/>
    <w:rsid w:val="0005668C"/>
    <w:rsid w:val="0005674B"/>
    <w:rsid w:val="00056DE7"/>
    <w:rsid w:val="00056E95"/>
    <w:rsid w:val="00057A0F"/>
    <w:rsid w:val="00060128"/>
    <w:rsid w:val="0006036A"/>
    <w:rsid w:val="000604C8"/>
    <w:rsid w:val="00060568"/>
    <w:rsid w:val="00060B17"/>
    <w:rsid w:val="000617D1"/>
    <w:rsid w:val="00062264"/>
    <w:rsid w:val="00062AF6"/>
    <w:rsid w:val="00062CCA"/>
    <w:rsid w:val="00063002"/>
    <w:rsid w:val="00063B4C"/>
    <w:rsid w:val="00063B59"/>
    <w:rsid w:val="00064417"/>
    <w:rsid w:val="000644CA"/>
    <w:rsid w:val="0006498E"/>
    <w:rsid w:val="00064F79"/>
    <w:rsid w:val="00065135"/>
    <w:rsid w:val="0006535E"/>
    <w:rsid w:val="00065A2E"/>
    <w:rsid w:val="00065B5C"/>
    <w:rsid w:val="00065F75"/>
    <w:rsid w:val="000660C6"/>
    <w:rsid w:val="000660F9"/>
    <w:rsid w:val="0006610C"/>
    <w:rsid w:val="000669EB"/>
    <w:rsid w:val="00067E5D"/>
    <w:rsid w:val="00067ECC"/>
    <w:rsid w:val="000704AC"/>
    <w:rsid w:val="00070C17"/>
    <w:rsid w:val="00072968"/>
    <w:rsid w:val="00072FA2"/>
    <w:rsid w:val="000734EB"/>
    <w:rsid w:val="00073543"/>
    <w:rsid w:val="00073551"/>
    <w:rsid w:val="00073CBA"/>
    <w:rsid w:val="00074CB6"/>
    <w:rsid w:val="000755BB"/>
    <w:rsid w:val="00075674"/>
    <w:rsid w:val="000758B3"/>
    <w:rsid w:val="000759CA"/>
    <w:rsid w:val="00075BAD"/>
    <w:rsid w:val="0007681C"/>
    <w:rsid w:val="00076D3C"/>
    <w:rsid w:val="00076E5A"/>
    <w:rsid w:val="00077AD7"/>
    <w:rsid w:val="000801A0"/>
    <w:rsid w:val="00080255"/>
    <w:rsid w:val="000803F4"/>
    <w:rsid w:val="000814E6"/>
    <w:rsid w:val="000815B6"/>
    <w:rsid w:val="000817B6"/>
    <w:rsid w:val="00081996"/>
    <w:rsid w:val="00081FD2"/>
    <w:rsid w:val="000822E9"/>
    <w:rsid w:val="00082345"/>
    <w:rsid w:val="00083133"/>
    <w:rsid w:val="00083C8D"/>
    <w:rsid w:val="00083EBC"/>
    <w:rsid w:val="0008424C"/>
    <w:rsid w:val="00084BD3"/>
    <w:rsid w:val="0008557C"/>
    <w:rsid w:val="0008565C"/>
    <w:rsid w:val="000856D2"/>
    <w:rsid w:val="0008582B"/>
    <w:rsid w:val="00085B33"/>
    <w:rsid w:val="00085EA6"/>
    <w:rsid w:val="0008625A"/>
    <w:rsid w:val="000878BB"/>
    <w:rsid w:val="000900AC"/>
    <w:rsid w:val="0009096C"/>
    <w:rsid w:val="00090B9D"/>
    <w:rsid w:val="00090CF8"/>
    <w:rsid w:val="000928ED"/>
    <w:rsid w:val="0009304E"/>
    <w:rsid w:val="00093BC9"/>
    <w:rsid w:val="00093D55"/>
    <w:rsid w:val="00094082"/>
    <w:rsid w:val="00094187"/>
    <w:rsid w:val="00094394"/>
    <w:rsid w:val="000946AA"/>
    <w:rsid w:val="00095582"/>
    <w:rsid w:val="00095D49"/>
    <w:rsid w:val="00095DEA"/>
    <w:rsid w:val="000969A4"/>
    <w:rsid w:val="0009724E"/>
    <w:rsid w:val="000A00DD"/>
    <w:rsid w:val="000A03E9"/>
    <w:rsid w:val="000A0468"/>
    <w:rsid w:val="000A0A80"/>
    <w:rsid w:val="000A0B5E"/>
    <w:rsid w:val="000A0EBB"/>
    <w:rsid w:val="000A1392"/>
    <w:rsid w:val="000A15DF"/>
    <w:rsid w:val="000A16EA"/>
    <w:rsid w:val="000A180A"/>
    <w:rsid w:val="000A2D38"/>
    <w:rsid w:val="000A2E58"/>
    <w:rsid w:val="000A33E9"/>
    <w:rsid w:val="000A373F"/>
    <w:rsid w:val="000A3BBD"/>
    <w:rsid w:val="000A43B1"/>
    <w:rsid w:val="000A45ED"/>
    <w:rsid w:val="000A494D"/>
    <w:rsid w:val="000A506A"/>
    <w:rsid w:val="000A67AA"/>
    <w:rsid w:val="000A7528"/>
    <w:rsid w:val="000A7CDE"/>
    <w:rsid w:val="000B1124"/>
    <w:rsid w:val="000B11B9"/>
    <w:rsid w:val="000B18CE"/>
    <w:rsid w:val="000B1DDF"/>
    <w:rsid w:val="000B1EFA"/>
    <w:rsid w:val="000B2747"/>
    <w:rsid w:val="000B2D94"/>
    <w:rsid w:val="000B4648"/>
    <w:rsid w:val="000B5101"/>
    <w:rsid w:val="000B536A"/>
    <w:rsid w:val="000B557B"/>
    <w:rsid w:val="000B5609"/>
    <w:rsid w:val="000B5623"/>
    <w:rsid w:val="000B59EC"/>
    <w:rsid w:val="000B5B98"/>
    <w:rsid w:val="000B61C9"/>
    <w:rsid w:val="000B64A6"/>
    <w:rsid w:val="000B6702"/>
    <w:rsid w:val="000B6726"/>
    <w:rsid w:val="000B76BD"/>
    <w:rsid w:val="000B78AC"/>
    <w:rsid w:val="000B7957"/>
    <w:rsid w:val="000B7A34"/>
    <w:rsid w:val="000C0E04"/>
    <w:rsid w:val="000C1053"/>
    <w:rsid w:val="000C1964"/>
    <w:rsid w:val="000C1C60"/>
    <w:rsid w:val="000C1FE5"/>
    <w:rsid w:val="000C224E"/>
    <w:rsid w:val="000C29D0"/>
    <w:rsid w:val="000C2AC6"/>
    <w:rsid w:val="000C2AF6"/>
    <w:rsid w:val="000C375A"/>
    <w:rsid w:val="000C3E6C"/>
    <w:rsid w:val="000C3FF6"/>
    <w:rsid w:val="000C441F"/>
    <w:rsid w:val="000C481E"/>
    <w:rsid w:val="000C51A6"/>
    <w:rsid w:val="000C51DB"/>
    <w:rsid w:val="000C6067"/>
    <w:rsid w:val="000C6373"/>
    <w:rsid w:val="000C6422"/>
    <w:rsid w:val="000C68C1"/>
    <w:rsid w:val="000C6AEB"/>
    <w:rsid w:val="000C6D6E"/>
    <w:rsid w:val="000C7B99"/>
    <w:rsid w:val="000C7CE2"/>
    <w:rsid w:val="000C7D94"/>
    <w:rsid w:val="000C7F39"/>
    <w:rsid w:val="000D0571"/>
    <w:rsid w:val="000D096F"/>
    <w:rsid w:val="000D0F40"/>
    <w:rsid w:val="000D0F80"/>
    <w:rsid w:val="000D155E"/>
    <w:rsid w:val="000D1B0A"/>
    <w:rsid w:val="000D1CFB"/>
    <w:rsid w:val="000D2732"/>
    <w:rsid w:val="000D2A16"/>
    <w:rsid w:val="000D2C38"/>
    <w:rsid w:val="000D2D5A"/>
    <w:rsid w:val="000D2E7B"/>
    <w:rsid w:val="000D33F7"/>
    <w:rsid w:val="000D440C"/>
    <w:rsid w:val="000D4DB6"/>
    <w:rsid w:val="000D4E6A"/>
    <w:rsid w:val="000D5536"/>
    <w:rsid w:val="000D5BAD"/>
    <w:rsid w:val="000D6B45"/>
    <w:rsid w:val="000D6CEA"/>
    <w:rsid w:val="000D6DEE"/>
    <w:rsid w:val="000D72DA"/>
    <w:rsid w:val="000D74F3"/>
    <w:rsid w:val="000D78E4"/>
    <w:rsid w:val="000E021F"/>
    <w:rsid w:val="000E129E"/>
    <w:rsid w:val="000E1477"/>
    <w:rsid w:val="000E14B6"/>
    <w:rsid w:val="000E1F9B"/>
    <w:rsid w:val="000E38F8"/>
    <w:rsid w:val="000E3DFE"/>
    <w:rsid w:val="000E4210"/>
    <w:rsid w:val="000E4733"/>
    <w:rsid w:val="000E4A17"/>
    <w:rsid w:val="000E54FD"/>
    <w:rsid w:val="000E5AFA"/>
    <w:rsid w:val="000E62F7"/>
    <w:rsid w:val="000E69C2"/>
    <w:rsid w:val="000E6F9F"/>
    <w:rsid w:val="000E794C"/>
    <w:rsid w:val="000E7EED"/>
    <w:rsid w:val="000F061A"/>
    <w:rsid w:val="000F09DE"/>
    <w:rsid w:val="000F24A1"/>
    <w:rsid w:val="000F2551"/>
    <w:rsid w:val="000F29B5"/>
    <w:rsid w:val="000F2C9B"/>
    <w:rsid w:val="000F314F"/>
    <w:rsid w:val="000F3F9D"/>
    <w:rsid w:val="000F4562"/>
    <w:rsid w:val="000F4D87"/>
    <w:rsid w:val="000F5099"/>
    <w:rsid w:val="000F54CF"/>
    <w:rsid w:val="000F57A6"/>
    <w:rsid w:val="000F5C9C"/>
    <w:rsid w:val="000F5EBF"/>
    <w:rsid w:val="000F63A2"/>
    <w:rsid w:val="000F6420"/>
    <w:rsid w:val="000F6499"/>
    <w:rsid w:val="000F6A56"/>
    <w:rsid w:val="000F6E2C"/>
    <w:rsid w:val="000F72DC"/>
    <w:rsid w:val="000F760C"/>
    <w:rsid w:val="000F7A3A"/>
    <w:rsid w:val="000F7C7B"/>
    <w:rsid w:val="001004BA"/>
    <w:rsid w:val="001011F2"/>
    <w:rsid w:val="00101772"/>
    <w:rsid w:val="0010269C"/>
    <w:rsid w:val="00102701"/>
    <w:rsid w:val="001027AE"/>
    <w:rsid w:val="00103209"/>
    <w:rsid w:val="001034AF"/>
    <w:rsid w:val="00104392"/>
    <w:rsid w:val="00104462"/>
    <w:rsid w:val="0010512E"/>
    <w:rsid w:val="00105B07"/>
    <w:rsid w:val="00105C94"/>
    <w:rsid w:val="00105E12"/>
    <w:rsid w:val="00105FA0"/>
    <w:rsid w:val="00106F1A"/>
    <w:rsid w:val="001077D6"/>
    <w:rsid w:val="00107BDF"/>
    <w:rsid w:val="00107E37"/>
    <w:rsid w:val="001101C7"/>
    <w:rsid w:val="0011058B"/>
    <w:rsid w:val="00110F96"/>
    <w:rsid w:val="00111877"/>
    <w:rsid w:val="00111D33"/>
    <w:rsid w:val="00111D97"/>
    <w:rsid w:val="00112459"/>
    <w:rsid w:val="001124F9"/>
    <w:rsid w:val="00112619"/>
    <w:rsid w:val="00113148"/>
    <w:rsid w:val="00113382"/>
    <w:rsid w:val="00113461"/>
    <w:rsid w:val="001138BA"/>
    <w:rsid w:val="00113DCF"/>
    <w:rsid w:val="00113F68"/>
    <w:rsid w:val="0011434F"/>
    <w:rsid w:val="0011441E"/>
    <w:rsid w:val="00114924"/>
    <w:rsid w:val="001150FD"/>
    <w:rsid w:val="001151B5"/>
    <w:rsid w:val="00115440"/>
    <w:rsid w:val="0011546B"/>
    <w:rsid w:val="00115566"/>
    <w:rsid w:val="00115A37"/>
    <w:rsid w:val="001161EF"/>
    <w:rsid w:val="00117709"/>
    <w:rsid w:val="00117A5F"/>
    <w:rsid w:val="00117B81"/>
    <w:rsid w:val="00117C63"/>
    <w:rsid w:val="00120052"/>
    <w:rsid w:val="00120C54"/>
    <w:rsid w:val="00120DCF"/>
    <w:rsid w:val="001211E5"/>
    <w:rsid w:val="0012164D"/>
    <w:rsid w:val="00121A62"/>
    <w:rsid w:val="00122E9F"/>
    <w:rsid w:val="00122FC4"/>
    <w:rsid w:val="00123235"/>
    <w:rsid w:val="001233F1"/>
    <w:rsid w:val="00123793"/>
    <w:rsid w:val="00123E63"/>
    <w:rsid w:val="00124460"/>
    <w:rsid w:val="00124517"/>
    <w:rsid w:val="00124B84"/>
    <w:rsid w:val="00125402"/>
    <w:rsid w:val="001254A4"/>
    <w:rsid w:val="0012557A"/>
    <w:rsid w:val="00126278"/>
    <w:rsid w:val="001262EE"/>
    <w:rsid w:val="00126BF7"/>
    <w:rsid w:val="00126E70"/>
    <w:rsid w:val="0012776C"/>
    <w:rsid w:val="00127CFE"/>
    <w:rsid w:val="00127D69"/>
    <w:rsid w:val="00127DC8"/>
    <w:rsid w:val="001300F2"/>
    <w:rsid w:val="001301CC"/>
    <w:rsid w:val="001306A4"/>
    <w:rsid w:val="00131337"/>
    <w:rsid w:val="0013164F"/>
    <w:rsid w:val="00131D3B"/>
    <w:rsid w:val="0013277A"/>
    <w:rsid w:val="0013280B"/>
    <w:rsid w:val="0013284A"/>
    <w:rsid w:val="0013324E"/>
    <w:rsid w:val="0013377D"/>
    <w:rsid w:val="001340AE"/>
    <w:rsid w:val="00134314"/>
    <w:rsid w:val="0013493F"/>
    <w:rsid w:val="00134C4C"/>
    <w:rsid w:val="00135372"/>
    <w:rsid w:val="00136185"/>
    <w:rsid w:val="001362D8"/>
    <w:rsid w:val="00136592"/>
    <w:rsid w:val="0013691E"/>
    <w:rsid w:val="00137119"/>
    <w:rsid w:val="00137458"/>
    <w:rsid w:val="00137906"/>
    <w:rsid w:val="00137AD5"/>
    <w:rsid w:val="00137D43"/>
    <w:rsid w:val="001403FA"/>
    <w:rsid w:val="00140420"/>
    <w:rsid w:val="00140882"/>
    <w:rsid w:val="001408CB"/>
    <w:rsid w:val="00140FAA"/>
    <w:rsid w:val="00141AA2"/>
    <w:rsid w:val="00142532"/>
    <w:rsid w:val="001425FD"/>
    <w:rsid w:val="0014287D"/>
    <w:rsid w:val="00143439"/>
    <w:rsid w:val="001437F7"/>
    <w:rsid w:val="00143CC7"/>
    <w:rsid w:val="001454C5"/>
    <w:rsid w:val="00145741"/>
    <w:rsid w:val="00146257"/>
    <w:rsid w:val="0014641D"/>
    <w:rsid w:val="00146A2C"/>
    <w:rsid w:val="00146A5A"/>
    <w:rsid w:val="001470CF"/>
    <w:rsid w:val="0014713A"/>
    <w:rsid w:val="00147505"/>
    <w:rsid w:val="00147856"/>
    <w:rsid w:val="00147CBA"/>
    <w:rsid w:val="00147EB6"/>
    <w:rsid w:val="001505A3"/>
    <w:rsid w:val="00151727"/>
    <w:rsid w:val="00152359"/>
    <w:rsid w:val="00152D39"/>
    <w:rsid w:val="00152FA4"/>
    <w:rsid w:val="0015310F"/>
    <w:rsid w:val="00153184"/>
    <w:rsid w:val="001534BF"/>
    <w:rsid w:val="00153D25"/>
    <w:rsid w:val="00153DD7"/>
    <w:rsid w:val="0015485C"/>
    <w:rsid w:val="00154E67"/>
    <w:rsid w:val="0015510D"/>
    <w:rsid w:val="00155DB8"/>
    <w:rsid w:val="00156193"/>
    <w:rsid w:val="001569C6"/>
    <w:rsid w:val="00156CAA"/>
    <w:rsid w:val="00156CFF"/>
    <w:rsid w:val="00157107"/>
    <w:rsid w:val="00157383"/>
    <w:rsid w:val="00157728"/>
    <w:rsid w:val="00157808"/>
    <w:rsid w:val="00157964"/>
    <w:rsid w:val="00157A16"/>
    <w:rsid w:val="00157FB3"/>
    <w:rsid w:val="00160CAB"/>
    <w:rsid w:val="00160EF0"/>
    <w:rsid w:val="001610D5"/>
    <w:rsid w:val="001610D7"/>
    <w:rsid w:val="00161532"/>
    <w:rsid w:val="00161AAF"/>
    <w:rsid w:val="00161F72"/>
    <w:rsid w:val="00162A53"/>
    <w:rsid w:val="00162B5F"/>
    <w:rsid w:val="00162DF0"/>
    <w:rsid w:val="00163B18"/>
    <w:rsid w:val="00164310"/>
    <w:rsid w:val="00164580"/>
    <w:rsid w:val="001645AD"/>
    <w:rsid w:val="001649AD"/>
    <w:rsid w:val="00164B95"/>
    <w:rsid w:val="00164E3C"/>
    <w:rsid w:val="00164FBD"/>
    <w:rsid w:val="00164FDC"/>
    <w:rsid w:val="00164FF5"/>
    <w:rsid w:val="00165471"/>
    <w:rsid w:val="0016579B"/>
    <w:rsid w:val="00165818"/>
    <w:rsid w:val="00165A93"/>
    <w:rsid w:val="00166365"/>
    <w:rsid w:val="0016637B"/>
    <w:rsid w:val="0016738A"/>
    <w:rsid w:val="00167AA6"/>
    <w:rsid w:val="00167B45"/>
    <w:rsid w:val="00167E43"/>
    <w:rsid w:val="00167F06"/>
    <w:rsid w:val="001702EE"/>
    <w:rsid w:val="001704E7"/>
    <w:rsid w:val="0017051D"/>
    <w:rsid w:val="0017052D"/>
    <w:rsid w:val="001709C2"/>
    <w:rsid w:val="00170EEE"/>
    <w:rsid w:val="00170F4E"/>
    <w:rsid w:val="00170F62"/>
    <w:rsid w:val="001714B0"/>
    <w:rsid w:val="0017194B"/>
    <w:rsid w:val="00171F0B"/>
    <w:rsid w:val="0017237A"/>
    <w:rsid w:val="0017248A"/>
    <w:rsid w:val="001729BB"/>
    <w:rsid w:val="00172B93"/>
    <w:rsid w:val="00172D3D"/>
    <w:rsid w:val="00172ED4"/>
    <w:rsid w:val="00172F29"/>
    <w:rsid w:val="00173997"/>
    <w:rsid w:val="00174373"/>
    <w:rsid w:val="001749AA"/>
    <w:rsid w:val="00174AE2"/>
    <w:rsid w:val="001751A3"/>
    <w:rsid w:val="00175E04"/>
    <w:rsid w:val="0017615B"/>
    <w:rsid w:val="0018014A"/>
    <w:rsid w:val="00180279"/>
    <w:rsid w:val="00180560"/>
    <w:rsid w:val="00180BF9"/>
    <w:rsid w:val="00180DC4"/>
    <w:rsid w:val="00180E94"/>
    <w:rsid w:val="00181497"/>
    <w:rsid w:val="00181612"/>
    <w:rsid w:val="001820A3"/>
    <w:rsid w:val="001820E1"/>
    <w:rsid w:val="001828A8"/>
    <w:rsid w:val="001830AA"/>
    <w:rsid w:val="00183BF7"/>
    <w:rsid w:val="001842DB"/>
    <w:rsid w:val="0018442D"/>
    <w:rsid w:val="0018459C"/>
    <w:rsid w:val="001848BA"/>
    <w:rsid w:val="0018573E"/>
    <w:rsid w:val="00185CB5"/>
    <w:rsid w:val="00185DEA"/>
    <w:rsid w:val="00186C8B"/>
    <w:rsid w:val="00186E05"/>
    <w:rsid w:val="0018705F"/>
    <w:rsid w:val="001871B5"/>
    <w:rsid w:val="001871DA"/>
    <w:rsid w:val="001871E1"/>
    <w:rsid w:val="00190002"/>
    <w:rsid w:val="0019168D"/>
    <w:rsid w:val="00191902"/>
    <w:rsid w:val="00191EDB"/>
    <w:rsid w:val="0019286A"/>
    <w:rsid w:val="001936DF"/>
    <w:rsid w:val="00194424"/>
    <w:rsid w:val="00194646"/>
    <w:rsid w:val="0019475D"/>
    <w:rsid w:val="001950A4"/>
    <w:rsid w:val="0019522F"/>
    <w:rsid w:val="00195B9C"/>
    <w:rsid w:val="00195F5B"/>
    <w:rsid w:val="001965BE"/>
    <w:rsid w:val="00197005"/>
    <w:rsid w:val="001970AE"/>
    <w:rsid w:val="00197127"/>
    <w:rsid w:val="00197385"/>
    <w:rsid w:val="00197507"/>
    <w:rsid w:val="001977FE"/>
    <w:rsid w:val="00197859"/>
    <w:rsid w:val="001A08DA"/>
    <w:rsid w:val="001A17EA"/>
    <w:rsid w:val="001A1811"/>
    <w:rsid w:val="001A1868"/>
    <w:rsid w:val="001A1A95"/>
    <w:rsid w:val="001A2162"/>
    <w:rsid w:val="001A23D8"/>
    <w:rsid w:val="001A2561"/>
    <w:rsid w:val="001A2D7E"/>
    <w:rsid w:val="001A37A8"/>
    <w:rsid w:val="001A4561"/>
    <w:rsid w:val="001A482C"/>
    <w:rsid w:val="001A53B8"/>
    <w:rsid w:val="001A5754"/>
    <w:rsid w:val="001A59D8"/>
    <w:rsid w:val="001A5DAF"/>
    <w:rsid w:val="001A6217"/>
    <w:rsid w:val="001A655D"/>
    <w:rsid w:val="001A65C5"/>
    <w:rsid w:val="001A6A70"/>
    <w:rsid w:val="001A6C4D"/>
    <w:rsid w:val="001A6FFF"/>
    <w:rsid w:val="001B00E5"/>
    <w:rsid w:val="001B031D"/>
    <w:rsid w:val="001B041D"/>
    <w:rsid w:val="001B0BD7"/>
    <w:rsid w:val="001B121C"/>
    <w:rsid w:val="001B17A9"/>
    <w:rsid w:val="001B1934"/>
    <w:rsid w:val="001B1C97"/>
    <w:rsid w:val="001B201E"/>
    <w:rsid w:val="001B2849"/>
    <w:rsid w:val="001B2D84"/>
    <w:rsid w:val="001B338B"/>
    <w:rsid w:val="001B34A5"/>
    <w:rsid w:val="001B352F"/>
    <w:rsid w:val="001B35A2"/>
    <w:rsid w:val="001B38ED"/>
    <w:rsid w:val="001B3E9E"/>
    <w:rsid w:val="001B4416"/>
    <w:rsid w:val="001B4AF9"/>
    <w:rsid w:val="001B4D63"/>
    <w:rsid w:val="001B4E77"/>
    <w:rsid w:val="001B4EAA"/>
    <w:rsid w:val="001B525D"/>
    <w:rsid w:val="001B52EA"/>
    <w:rsid w:val="001B5995"/>
    <w:rsid w:val="001B59C7"/>
    <w:rsid w:val="001B5B4D"/>
    <w:rsid w:val="001B6429"/>
    <w:rsid w:val="001B6509"/>
    <w:rsid w:val="001B6545"/>
    <w:rsid w:val="001B71A3"/>
    <w:rsid w:val="001B79B0"/>
    <w:rsid w:val="001B7A5D"/>
    <w:rsid w:val="001C0025"/>
    <w:rsid w:val="001C08AD"/>
    <w:rsid w:val="001C0BC1"/>
    <w:rsid w:val="001C0CBC"/>
    <w:rsid w:val="001C0DC6"/>
    <w:rsid w:val="001C0F37"/>
    <w:rsid w:val="001C1615"/>
    <w:rsid w:val="001C1D33"/>
    <w:rsid w:val="001C2191"/>
    <w:rsid w:val="001C222F"/>
    <w:rsid w:val="001C2B9B"/>
    <w:rsid w:val="001C2E08"/>
    <w:rsid w:val="001C3626"/>
    <w:rsid w:val="001C3BBE"/>
    <w:rsid w:val="001C4382"/>
    <w:rsid w:val="001C441E"/>
    <w:rsid w:val="001C466E"/>
    <w:rsid w:val="001C48D3"/>
    <w:rsid w:val="001C5C4C"/>
    <w:rsid w:val="001C5DA8"/>
    <w:rsid w:val="001C6196"/>
    <w:rsid w:val="001C6580"/>
    <w:rsid w:val="001C7B67"/>
    <w:rsid w:val="001C7C20"/>
    <w:rsid w:val="001C7F60"/>
    <w:rsid w:val="001D05DD"/>
    <w:rsid w:val="001D115D"/>
    <w:rsid w:val="001D122C"/>
    <w:rsid w:val="001D2117"/>
    <w:rsid w:val="001D2175"/>
    <w:rsid w:val="001D2237"/>
    <w:rsid w:val="001D2D90"/>
    <w:rsid w:val="001D30C9"/>
    <w:rsid w:val="001D4170"/>
    <w:rsid w:val="001D4AA6"/>
    <w:rsid w:val="001D4B2F"/>
    <w:rsid w:val="001D4FC1"/>
    <w:rsid w:val="001D4FEF"/>
    <w:rsid w:val="001D5247"/>
    <w:rsid w:val="001D6222"/>
    <w:rsid w:val="001D6806"/>
    <w:rsid w:val="001D6FB6"/>
    <w:rsid w:val="001D733C"/>
    <w:rsid w:val="001D785D"/>
    <w:rsid w:val="001E05BE"/>
    <w:rsid w:val="001E067B"/>
    <w:rsid w:val="001E128E"/>
    <w:rsid w:val="001E13CD"/>
    <w:rsid w:val="001E16B5"/>
    <w:rsid w:val="001E1A4F"/>
    <w:rsid w:val="001E20D0"/>
    <w:rsid w:val="001E27E7"/>
    <w:rsid w:val="001E33E0"/>
    <w:rsid w:val="001E34B7"/>
    <w:rsid w:val="001E3AFA"/>
    <w:rsid w:val="001E3D37"/>
    <w:rsid w:val="001E4C92"/>
    <w:rsid w:val="001E5B0E"/>
    <w:rsid w:val="001E5E81"/>
    <w:rsid w:val="001E69FE"/>
    <w:rsid w:val="001E6B03"/>
    <w:rsid w:val="001E7124"/>
    <w:rsid w:val="001E7F4F"/>
    <w:rsid w:val="001F03C4"/>
    <w:rsid w:val="001F0BE5"/>
    <w:rsid w:val="001F0CED"/>
    <w:rsid w:val="001F1694"/>
    <w:rsid w:val="001F2744"/>
    <w:rsid w:val="001F277F"/>
    <w:rsid w:val="001F2B79"/>
    <w:rsid w:val="001F2CE8"/>
    <w:rsid w:val="001F2FF8"/>
    <w:rsid w:val="001F3578"/>
    <w:rsid w:val="001F3685"/>
    <w:rsid w:val="001F3838"/>
    <w:rsid w:val="001F3A52"/>
    <w:rsid w:val="001F414A"/>
    <w:rsid w:val="001F47F2"/>
    <w:rsid w:val="001F5029"/>
    <w:rsid w:val="001F5984"/>
    <w:rsid w:val="001F5A3D"/>
    <w:rsid w:val="001F5F42"/>
    <w:rsid w:val="001F608A"/>
    <w:rsid w:val="001F731E"/>
    <w:rsid w:val="001F78CA"/>
    <w:rsid w:val="001F7FB9"/>
    <w:rsid w:val="00200309"/>
    <w:rsid w:val="00200E84"/>
    <w:rsid w:val="002013ED"/>
    <w:rsid w:val="00201551"/>
    <w:rsid w:val="0020199F"/>
    <w:rsid w:val="00201CFD"/>
    <w:rsid w:val="002028D9"/>
    <w:rsid w:val="00202C7D"/>
    <w:rsid w:val="00202F5E"/>
    <w:rsid w:val="00203616"/>
    <w:rsid w:val="00203A9D"/>
    <w:rsid w:val="00204622"/>
    <w:rsid w:val="00204812"/>
    <w:rsid w:val="002049BC"/>
    <w:rsid w:val="002050E7"/>
    <w:rsid w:val="002053A5"/>
    <w:rsid w:val="00205A39"/>
    <w:rsid w:val="0020603A"/>
    <w:rsid w:val="002064FF"/>
    <w:rsid w:val="0020651D"/>
    <w:rsid w:val="002068F7"/>
    <w:rsid w:val="00206E8C"/>
    <w:rsid w:val="0020757C"/>
    <w:rsid w:val="00207983"/>
    <w:rsid w:val="002101C8"/>
    <w:rsid w:val="0021026F"/>
    <w:rsid w:val="002109E0"/>
    <w:rsid w:val="00210C44"/>
    <w:rsid w:val="00210D05"/>
    <w:rsid w:val="00211DEF"/>
    <w:rsid w:val="002127DA"/>
    <w:rsid w:val="0021311B"/>
    <w:rsid w:val="0021380A"/>
    <w:rsid w:val="00213AD3"/>
    <w:rsid w:val="00214C4D"/>
    <w:rsid w:val="00214E6E"/>
    <w:rsid w:val="00214EBD"/>
    <w:rsid w:val="0021575A"/>
    <w:rsid w:val="00215ED7"/>
    <w:rsid w:val="00215FC8"/>
    <w:rsid w:val="00216E92"/>
    <w:rsid w:val="00216F6D"/>
    <w:rsid w:val="00217438"/>
    <w:rsid w:val="002174DC"/>
    <w:rsid w:val="002208D3"/>
    <w:rsid w:val="002211E0"/>
    <w:rsid w:val="0022138A"/>
    <w:rsid w:val="00222217"/>
    <w:rsid w:val="00222596"/>
    <w:rsid w:val="0022271A"/>
    <w:rsid w:val="00222A8C"/>
    <w:rsid w:val="00222B92"/>
    <w:rsid w:val="00223259"/>
    <w:rsid w:val="002237C4"/>
    <w:rsid w:val="00223856"/>
    <w:rsid w:val="00223A00"/>
    <w:rsid w:val="00224726"/>
    <w:rsid w:val="00225217"/>
    <w:rsid w:val="00225ED4"/>
    <w:rsid w:val="0022608A"/>
    <w:rsid w:val="002267CE"/>
    <w:rsid w:val="00226AAB"/>
    <w:rsid w:val="00226AC1"/>
    <w:rsid w:val="00227618"/>
    <w:rsid w:val="0022774A"/>
    <w:rsid w:val="002305C8"/>
    <w:rsid w:val="00230DC8"/>
    <w:rsid w:val="00230F94"/>
    <w:rsid w:val="0023112B"/>
    <w:rsid w:val="0023128C"/>
    <w:rsid w:val="00231691"/>
    <w:rsid w:val="002317FF"/>
    <w:rsid w:val="002319C5"/>
    <w:rsid w:val="00231B88"/>
    <w:rsid w:val="00231D37"/>
    <w:rsid w:val="00231F58"/>
    <w:rsid w:val="00232015"/>
    <w:rsid w:val="00232511"/>
    <w:rsid w:val="00232DEE"/>
    <w:rsid w:val="002330A1"/>
    <w:rsid w:val="00233849"/>
    <w:rsid w:val="00233867"/>
    <w:rsid w:val="00234129"/>
    <w:rsid w:val="00234373"/>
    <w:rsid w:val="0023450F"/>
    <w:rsid w:val="00235219"/>
    <w:rsid w:val="00235655"/>
    <w:rsid w:val="00235AF9"/>
    <w:rsid w:val="00236034"/>
    <w:rsid w:val="002369A4"/>
    <w:rsid w:val="00236A02"/>
    <w:rsid w:val="00236CE5"/>
    <w:rsid w:val="00236FD2"/>
    <w:rsid w:val="002373F5"/>
    <w:rsid w:val="00240A3E"/>
    <w:rsid w:val="00240C9A"/>
    <w:rsid w:val="00240DED"/>
    <w:rsid w:val="002411D8"/>
    <w:rsid w:val="002423CC"/>
    <w:rsid w:val="002425D5"/>
    <w:rsid w:val="00242A74"/>
    <w:rsid w:val="00242EE7"/>
    <w:rsid w:val="002435F8"/>
    <w:rsid w:val="002443E3"/>
    <w:rsid w:val="002444AD"/>
    <w:rsid w:val="002444F3"/>
    <w:rsid w:val="00244699"/>
    <w:rsid w:val="00244EA0"/>
    <w:rsid w:val="00245369"/>
    <w:rsid w:val="002456B8"/>
    <w:rsid w:val="00245923"/>
    <w:rsid w:val="00246711"/>
    <w:rsid w:val="00246898"/>
    <w:rsid w:val="00246B9C"/>
    <w:rsid w:val="00246CFB"/>
    <w:rsid w:val="00246FB9"/>
    <w:rsid w:val="0024725B"/>
    <w:rsid w:val="00247BBA"/>
    <w:rsid w:val="00247E37"/>
    <w:rsid w:val="00247F4A"/>
    <w:rsid w:val="002500C8"/>
    <w:rsid w:val="0025016F"/>
    <w:rsid w:val="002506FF"/>
    <w:rsid w:val="002508B4"/>
    <w:rsid w:val="00250CAA"/>
    <w:rsid w:val="0025170C"/>
    <w:rsid w:val="00251937"/>
    <w:rsid w:val="00251AA7"/>
    <w:rsid w:val="00251C7C"/>
    <w:rsid w:val="00251E6A"/>
    <w:rsid w:val="00252532"/>
    <w:rsid w:val="0025273C"/>
    <w:rsid w:val="0025353D"/>
    <w:rsid w:val="00253DDC"/>
    <w:rsid w:val="002544A1"/>
    <w:rsid w:val="00254C5C"/>
    <w:rsid w:val="00255288"/>
    <w:rsid w:val="00255344"/>
    <w:rsid w:val="002556CB"/>
    <w:rsid w:val="00255B93"/>
    <w:rsid w:val="002560FE"/>
    <w:rsid w:val="002567E2"/>
    <w:rsid w:val="00256CF9"/>
    <w:rsid w:val="0025722E"/>
    <w:rsid w:val="00257343"/>
    <w:rsid w:val="00260068"/>
    <w:rsid w:val="0026024D"/>
    <w:rsid w:val="00260DDC"/>
    <w:rsid w:val="0026124A"/>
    <w:rsid w:val="0026161C"/>
    <w:rsid w:val="00261C0F"/>
    <w:rsid w:val="00262E2C"/>
    <w:rsid w:val="00263974"/>
    <w:rsid w:val="00263B5F"/>
    <w:rsid w:val="0026421F"/>
    <w:rsid w:val="002642AF"/>
    <w:rsid w:val="002647D8"/>
    <w:rsid w:val="00264ACD"/>
    <w:rsid w:val="00264B2B"/>
    <w:rsid w:val="00264FD0"/>
    <w:rsid w:val="00265856"/>
    <w:rsid w:val="00265E5F"/>
    <w:rsid w:val="00265E89"/>
    <w:rsid w:val="002664C9"/>
    <w:rsid w:val="00266607"/>
    <w:rsid w:val="00266758"/>
    <w:rsid w:val="00267622"/>
    <w:rsid w:val="002676A3"/>
    <w:rsid w:val="00267AE4"/>
    <w:rsid w:val="0027005E"/>
    <w:rsid w:val="00270EF7"/>
    <w:rsid w:val="00271155"/>
    <w:rsid w:val="0027132A"/>
    <w:rsid w:val="00271FE2"/>
    <w:rsid w:val="002722BA"/>
    <w:rsid w:val="002727FD"/>
    <w:rsid w:val="00273503"/>
    <w:rsid w:val="002744F2"/>
    <w:rsid w:val="0027479D"/>
    <w:rsid w:val="00274DFC"/>
    <w:rsid w:val="00275221"/>
    <w:rsid w:val="00275420"/>
    <w:rsid w:val="00275DF1"/>
    <w:rsid w:val="002763F6"/>
    <w:rsid w:val="00276543"/>
    <w:rsid w:val="002765A1"/>
    <w:rsid w:val="002767DB"/>
    <w:rsid w:val="00276B9D"/>
    <w:rsid w:val="00277425"/>
    <w:rsid w:val="00277FDB"/>
    <w:rsid w:val="0028055E"/>
    <w:rsid w:val="0028090E"/>
    <w:rsid w:val="00280C41"/>
    <w:rsid w:val="00280C56"/>
    <w:rsid w:val="00281501"/>
    <w:rsid w:val="0028189D"/>
    <w:rsid w:val="00282292"/>
    <w:rsid w:val="0028262C"/>
    <w:rsid w:val="00282B68"/>
    <w:rsid w:val="00282CD6"/>
    <w:rsid w:val="0028366D"/>
    <w:rsid w:val="00283C27"/>
    <w:rsid w:val="00283FBA"/>
    <w:rsid w:val="00284158"/>
    <w:rsid w:val="00285A11"/>
    <w:rsid w:val="00285A91"/>
    <w:rsid w:val="00286095"/>
    <w:rsid w:val="00286113"/>
    <w:rsid w:val="002861D7"/>
    <w:rsid w:val="00286613"/>
    <w:rsid w:val="002866A6"/>
    <w:rsid w:val="00286D40"/>
    <w:rsid w:val="002870C0"/>
    <w:rsid w:val="00287763"/>
    <w:rsid w:val="00290027"/>
    <w:rsid w:val="00290619"/>
    <w:rsid w:val="002930C4"/>
    <w:rsid w:val="00293907"/>
    <w:rsid w:val="00293B0A"/>
    <w:rsid w:val="00293E83"/>
    <w:rsid w:val="00294033"/>
    <w:rsid w:val="002943E1"/>
    <w:rsid w:val="00295376"/>
    <w:rsid w:val="0029540D"/>
    <w:rsid w:val="00295A43"/>
    <w:rsid w:val="00295B5E"/>
    <w:rsid w:val="00295BC0"/>
    <w:rsid w:val="00295C30"/>
    <w:rsid w:val="00296C5E"/>
    <w:rsid w:val="002972B9"/>
    <w:rsid w:val="00297A8E"/>
    <w:rsid w:val="00297C85"/>
    <w:rsid w:val="00297F68"/>
    <w:rsid w:val="002A0683"/>
    <w:rsid w:val="002A075B"/>
    <w:rsid w:val="002A0E60"/>
    <w:rsid w:val="002A127C"/>
    <w:rsid w:val="002A1996"/>
    <w:rsid w:val="002A1AAC"/>
    <w:rsid w:val="002A1F82"/>
    <w:rsid w:val="002A22C3"/>
    <w:rsid w:val="002A237B"/>
    <w:rsid w:val="002A2F27"/>
    <w:rsid w:val="002A302F"/>
    <w:rsid w:val="002A3248"/>
    <w:rsid w:val="002A36F6"/>
    <w:rsid w:val="002A3BCA"/>
    <w:rsid w:val="002A3E51"/>
    <w:rsid w:val="002A40F4"/>
    <w:rsid w:val="002A4389"/>
    <w:rsid w:val="002A4441"/>
    <w:rsid w:val="002A4C1A"/>
    <w:rsid w:val="002A56A7"/>
    <w:rsid w:val="002A5763"/>
    <w:rsid w:val="002A59B5"/>
    <w:rsid w:val="002A5FE2"/>
    <w:rsid w:val="002A612B"/>
    <w:rsid w:val="002A64BC"/>
    <w:rsid w:val="002A659C"/>
    <w:rsid w:val="002A68A4"/>
    <w:rsid w:val="002A6EA2"/>
    <w:rsid w:val="002B0B4B"/>
    <w:rsid w:val="002B164F"/>
    <w:rsid w:val="002B1883"/>
    <w:rsid w:val="002B1C6C"/>
    <w:rsid w:val="002B1C88"/>
    <w:rsid w:val="002B1D11"/>
    <w:rsid w:val="002B1DF6"/>
    <w:rsid w:val="002B1E26"/>
    <w:rsid w:val="002B2EFE"/>
    <w:rsid w:val="002B3498"/>
    <w:rsid w:val="002B35F6"/>
    <w:rsid w:val="002B3759"/>
    <w:rsid w:val="002B41A0"/>
    <w:rsid w:val="002B49A0"/>
    <w:rsid w:val="002B4CE6"/>
    <w:rsid w:val="002B56BC"/>
    <w:rsid w:val="002B5727"/>
    <w:rsid w:val="002B5878"/>
    <w:rsid w:val="002B620D"/>
    <w:rsid w:val="002B6ADD"/>
    <w:rsid w:val="002B6B25"/>
    <w:rsid w:val="002B6E2E"/>
    <w:rsid w:val="002B73E9"/>
    <w:rsid w:val="002B754A"/>
    <w:rsid w:val="002B7930"/>
    <w:rsid w:val="002B7D16"/>
    <w:rsid w:val="002B7E32"/>
    <w:rsid w:val="002C0163"/>
    <w:rsid w:val="002C0314"/>
    <w:rsid w:val="002C12E4"/>
    <w:rsid w:val="002C1AA6"/>
    <w:rsid w:val="002C1D29"/>
    <w:rsid w:val="002C2014"/>
    <w:rsid w:val="002C20FA"/>
    <w:rsid w:val="002C2661"/>
    <w:rsid w:val="002C3106"/>
    <w:rsid w:val="002C3A20"/>
    <w:rsid w:val="002C3E25"/>
    <w:rsid w:val="002C4582"/>
    <w:rsid w:val="002C4BBD"/>
    <w:rsid w:val="002C508F"/>
    <w:rsid w:val="002C5A40"/>
    <w:rsid w:val="002C5FEE"/>
    <w:rsid w:val="002C632B"/>
    <w:rsid w:val="002C713E"/>
    <w:rsid w:val="002C728F"/>
    <w:rsid w:val="002C7658"/>
    <w:rsid w:val="002C79C1"/>
    <w:rsid w:val="002D033C"/>
    <w:rsid w:val="002D0A95"/>
    <w:rsid w:val="002D0DE9"/>
    <w:rsid w:val="002D0F47"/>
    <w:rsid w:val="002D1147"/>
    <w:rsid w:val="002D1389"/>
    <w:rsid w:val="002D15B5"/>
    <w:rsid w:val="002D1812"/>
    <w:rsid w:val="002D1A25"/>
    <w:rsid w:val="002D1B37"/>
    <w:rsid w:val="002D22A1"/>
    <w:rsid w:val="002D260B"/>
    <w:rsid w:val="002D2C80"/>
    <w:rsid w:val="002D3232"/>
    <w:rsid w:val="002D3CB6"/>
    <w:rsid w:val="002D420E"/>
    <w:rsid w:val="002D430E"/>
    <w:rsid w:val="002D450F"/>
    <w:rsid w:val="002D51D4"/>
    <w:rsid w:val="002D52F9"/>
    <w:rsid w:val="002D552D"/>
    <w:rsid w:val="002D565F"/>
    <w:rsid w:val="002D56FF"/>
    <w:rsid w:val="002D5F0A"/>
    <w:rsid w:val="002D6226"/>
    <w:rsid w:val="002D655E"/>
    <w:rsid w:val="002D710F"/>
    <w:rsid w:val="002D76E1"/>
    <w:rsid w:val="002D7EC3"/>
    <w:rsid w:val="002E02AE"/>
    <w:rsid w:val="002E0727"/>
    <w:rsid w:val="002E0A12"/>
    <w:rsid w:val="002E0D57"/>
    <w:rsid w:val="002E1A35"/>
    <w:rsid w:val="002E1C87"/>
    <w:rsid w:val="002E23BB"/>
    <w:rsid w:val="002E248B"/>
    <w:rsid w:val="002E2D67"/>
    <w:rsid w:val="002E33F5"/>
    <w:rsid w:val="002E3833"/>
    <w:rsid w:val="002E3E10"/>
    <w:rsid w:val="002E45A6"/>
    <w:rsid w:val="002E4DFE"/>
    <w:rsid w:val="002E564D"/>
    <w:rsid w:val="002E65BD"/>
    <w:rsid w:val="002E7B9B"/>
    <w:rsid w:val="002F01C6"/>
    <w:rsid w:val="002F09C8"/>
    <w:rsid w:val="002F0A65"/>
    <w:rsid w:val="002F0AD2"/>
    <w:rsid w:val="002F1474"/>
    <w:rsid w:val="002F1836"/>
    <w:rsid w:val="002F18D2"/>
    <w:rsid w:val="002F2ECC"/>
    <w:rsid w:val="002F3187"/>
    <w:rsid w:val="002F32E1"/>
    <w:rsid w:val="002F372F"/>
    <w:rsid w:val="002F3928"/>
    <w:rsid w:val="002F461E"/>
    <w:rsid w:val="002F4BC8"/>
    <w:rsid w:val="002F5132"/>
    <w:rsid w:val="002F5DD4"/>
    <w:rsid w:val="002F6076"/>
    <w:rsid w:val="002F61CA"/>
    <w:rsid w:val="002F70B8"/>
    <w:rsid w:val="002F7289"/>
    <w:rsid w:val="002F781D"/>
    <w:rsid w:val="002F7AF9"/>
    <w:rsid w:val="00300347"/>
    <w:rsid w:val="003008FA"/>
    <w:rsid w:val="0030099A"/>
    <w:rsid w:val="003009D3"/>
    <w:rsid w:val="0030118F"/>
    <w:rsid w:val="003012F4"/>
    <w:rsid w:val="003013C6"/>
    <w:rsid w:val="00301832"/>
    <w:rsid w:val="003018C2"/>
    <w:rsid w:val="00301F48"/>
    <w:rsid w:val="003028F4"/>
    <w:rsid w:val="00302E53"/>
    <w:rsid w:val="00303270"/>
    <w:rsid w:val="00303292"/>
    <w:rsid w:val="00303549"/>
    <w:rsid w:val="00303894"/>
    <w:rsid w:val="003038FA"/>
    <w:rsid w:val="00303A15"/>
    <w:rsid w:val="00303D26"/>
    <w:rsid w:val="00303DE4"/>
    <w:rsid w:val="0030492B"/>
    <w:rsid w:val="00304E26"/>
    <w:rsid w:val="00304E5B"/>
    <w:rsid w:val="00306318"/>
    <w:rsid w:val="003067BF"/>
    <w:rsid w:val="0030719E"/>
    <w:rsid w:val="00307EC5"/>
    <w:rsid w:val="00310325"/>
    <w:rsid w:val="0031039E"/>
    <w:rsid w:val="00310AEE"/>
    <w:rsid w:val="00310F42"/>
    <w:rsid w:val="0031110B"/>
    <w:rsid w:val="00311361"/>
    <w:rsid w:val="00312130"/>
    <w:rsid w:val="003121E1"/>
    <w:rsid w:val="00312225"/>
    <w:rsid w:val="00312353"/>
    <w:rsid w:val="00312387"/>
    <w:rsid w:val="003127DC"/>
    <w:rsid w:val="003133B9"/>
    <w:rsid w:val="00313B9F"/>
    <w:rsid w:val="00313BB6"/>
    <w:rsid w:val="003140A3"/>
    <w:rsid w:val="003148B7"/>
    <w:rsid w:val="003154C4"/>
    <w:rsid w:val="00315665"/>
    <w:rsid w:val="00315F30"/>
    <w:rsid w:val="003162C8"/>
    <w:rsid w:val="00316FA2"/>
    <w:rsid w:val="0031707C"/>
    <w:rsid w:val="003172EC"/>
    <w:rsid w:val="00317301"/>
    <w:rsid w:val="0031762F"/>
    <w:rsid w:val="00317A5B"/>
    <w:rsid w:val="003200A0"/>
    <w:rsid w:val="0032106D"/>
    <w:rsid w:val="003214E4"/>
    <w:rsid w:val="003217DB"/>
    <w:rsid w:val="0032187C"/>
    <w:rsid w:val="00322652"/>
    <w:rsid w:val="00322912"/>
    <w:rsid w:val="00323E91"/>
    <w:rsid w:val="0032473C"/>
    <w:rsid w:val="003248C5"/>
    <w:rsid w:val="00324B6E"/>
    <w:rsid w:val="0032589F"/>
    <w:rsid w:val="00326367"/>
    <w:rsid w:val="0032684F"/>
    <w:rsid w:val="00326A14"/>
    <w:rsid w:val="00327199"/>
    <w:rsid w:val="00327200"/>
    <w:rsid w:val="0032788E"/>
    <w:rsid w:val="00330239"/>
    <w:rsid w:val="003304DE"/>
    <w:rsid w:val="00330601"/>
    <w:rsid w:val="00330780"/>
    <w:rsid w:val="00330FCF"/>
    <w:rsid w:val="0033131E"/>
    <w:rsid w:val="00332E66"/>
    <w:rsid w:val="00332FAE"/>
    <w:rsid w:val="0033331E"/>
    <w:rsid w:val="003334AB"/>
    <w:rsid w:val="003335B8"/>
    <w:rsid w:val="003335D9"/>
    <w:rsid w:val="003339D5"/>
    <w:rsid w:val="00333E5B"/>
    <w:rsid w:val="00334270"/>
    <w:rsid w:val="0033559D"/>
    <w:rsid w:val="00335650"/>
    <w:rsid w:val="003357EE"/>
    <w:rsid w:val="00335AA8"/>
    <w:rsid w:val="00336043"/>
    <w:rsid w:val="003364D4"/>
    <w:rsid w:val="003365BB"/>
    <w:rsid w:val="00336E16"/>
    <w:rsid w:val="00341295"/>
    <w:rsid w:val="00341384"/>
    <w:rsid w:val="00342D6C"/>
    <w:rsid w:val="00342FD7"/>
    <w:rsid w:val="00343B66"/>
    <w:rsid w:val="00343D2D"/>
    <w:rsid w:val="00344285"/>
    <w:rsid w:val="00344302"/>
    <w:rsid w:val="003443AD"/>
    <w:rsid w:val="003450E8"/>
    <w:rsid w:val="0034599C"/>
    <w:rsid w:val="00345DF4"/>
    <w:rsid w:val="00346336"/>
    <w:rsid w:val="0034642F"/>
    <w:rsid w:val="00346447"/>
    <w:rsid w:val="00346456"/>
    <w:rsid w:val="00346779"/>
    <w:rsid w:val="00346983"/>
    <w:rsid w:val="00346D23"/>
    <w:rsid w:val="00347293"/>
    <w:rsid w:val="00347588"/>
    <w:rsid w:val="00347AC4"/>
    <w:rsid w:val="00347AC6"/>
    <w:rsid w:val="00350733"/>
    <w:rsid w:val="00352390"/>
    <w:rsid w:val="0035273E"/>
    <w:rsid w:val="003529EE"/>
    <w:rsid w:val="00352B58"/>
    <w:rsid w:val="00353183"/>
    <w:rsid w:val="00353916"/>
    <w:rsid w:val="00354477"/>
    <w:rsid w:val="0035586D"/>
    <w:rsid w:val="003561F7"/>
    <w:rsid w:val="0035632D"/>
    <w:rsid w:val="003563D5"/>
    <w:rsid w:val="003565F6"/>
    <w:rsid w:val="00356F19"/>
    <w:rsid w:val="00357606"/>
    <w:rsid w:val="00357759"/>
    <w:rsid w:val="00360B6E"/>
    <w:rsid w:val="00360DDC"/>
    <w:rsid w:val="00360F2A"/>
    <w:rsid w:val="003619B3"/>
    <w:rsid w:val="00361C98"/>
    <w:rsid w:val="003625D5"/>
    <w:rsid w:val="00362BDF"/>
    <w:rsid w:val="00363461"/>
    <w:rsid w:val="00363B7F"/>
    <w:rsid w:val="00363DA7"/>
    <w:rsid w:val="003647AA"/>
    <w:rsid w:val="00364853"/>
    <w:rsid w:val="0036519F"/>
    <w:rsid w:val="003655C5"/>
    <w:rsid w:val="003658E2"/>
    <w:rsid w:val="00366F3E"/>
    <w:rsid w:val="00366FB6"/>
    <w:rsid w:val="00367334"/>
    <w:rsid w:val="003674C0"/>
    <w:rsid w:val="00367581"/>
    <w:rsid w:val="003679D5"/>
    <w:rsid w:val="003679F9"/>
    <w:rsid w:val="00370385"/>
    <w:rsid w:val="003709B4"/>
    <w:rsid w:val="00370CEC"/>
    <w:rsid w:val="003712D7"/>
    <w:rsid w:val="00371587"/>
    <w:rsid w:val="00371FBE"/>
    <w:rsid w:val="00372997"/>
    <w:rsid w:val="00372D9B"/>
    <w:rsid w:val="00372DAE"/>
    <w:rsid w:val="0037308D"/>
    <w:rsid w:val="003737AB"/>
    <w:rsid w:val="00373A68"/>
    <w:rsid w:val="00374058"/>
    <w:rsid w:val="0037419C"/>
    <w:rsid w:val="003748D3"/>
    <w:rsid w:val="00375184"/>
    <w:rsid w:val="003751CC"/>
    <w:rsid w:val="0037546F"/>
    <w:rsid w:val="00375F4D"/>
    <w:rsid w:val="003768FB"/>
    <w:rsid w:val="00376BDA"/>
    <w:rsid w:val="00377109"/>
    <w:rsid w:val="0037773D"/>
    <w:rsid w:val="00377A1A"/>
    <w:rsid w:val="00380270"/>
    <w:rsid w:val="00380326"/>
    <w:rsid w:val="00380568"/>
    <w:rsid w:val="00380583"/>
    <w:rsid w:val="003807C5"/>
    <w:rsid w:val="00380815"/>
    <w:rsid w:val="00380D85"/>
    <w:rsid w:val="00380EC7"/>
    <w:rsid w:val="003814D1"/>
    <w:rsid w:val="003815A2"/>
    <w:rsid w:val="003816E8"/>
    <w:rsid w:val="00382777"/>
    <w:rsid w:val="00382941"/>
    <w:rsid w:val="003835D0"/>
    <w:rsid w:val="003838AE"/>
    <w:rsid w:val="003840F2"/>
    <w:rsid w:val="00384A80"/>
    <w:rsid w:val="00384D0F"/>
    <w:rsid w:val="003851E8"/>
    <w:rsid w:val="003853D8"/>
    <w:rsid w:val="0038574C"/>
    <w:rsid w:val="00385B0C"/>
    <w:rsid w:val="00385FE1"/>
    <w:rsid w:val="00386521"/>
    <w:rsid w:val="003867CC"/>
    <w:rsid w:val="00386CBD"/>
    <w:rsid w:val="00387136"/>
    <w:rsid w:val="003871DE"/>
    <w:rsid w:val="00387288"/>
    <w:rsid w:val="003879A4"/>
    <w:rsid w:val="003902C6"/>
    <w:rsid w:val="003903BF"/>
    <w:rsid w:val="00390496"/>
    <w:rsid w:val="0039050B"/>
    <w:rsid w:val="00390ACF"/>
    <w:rsid w:val="00390AFD"/>
    <w:rsid w:val="00390C94"/>
    <w:rsid w:val="00390C9A"/>
    <w:rsid w:val="00390DFD"/>
    <w:rsid w:val="0039101E"/>
    <w:rsid w:val="003914D6"/>
    <w:rsid w:val="0039167B"/>
    <w:rsid w:val="00392497"/>
    <w:rsid w:val="003929F0"/>
    <w:rsid w:val="00392CEF"/>
    <w:rsid w:val="003934B6"/>
    <w:rsid w:val="00394067"/>
    <w:rsid w:val="0039473C"/>
    <w:rsid w:val="0039526A"/>
    <w:rsid w:val="0039558D"/>
    <w:rsid w:val="00395702"/>
    <w:rsid w:val="0039576E"/>
    <w:rsid w:val="0039637F"/>
    <w:rsid w:val="0039659D"/>
    <w:rsid w:val="00396940"/>
    <w:rsid w:val="00397524"/>
    <w:rsid w:val="00397749"/>
    <w:rsid w:val="00397A0C"/>
    <w:rsid w:val="003A0437"/>
    <w:rsid w:val="003A05AB"/>
    <w:rsid w:val="003A0BD9"/>
    <w:rsid w:val="003A0EE9"/>
    <w:rsid w:val="003A0F0B"/>
    <w:rsid w:val="003A0F3D"/>
    <w:rsid w:val="003A14AD"/>
    <w:rsid w:val="003A156D"/>
    <w:rsid w:val="003A2287"/>
    <w:rsid w:val="003A25B6"/>
    <w:rsid w:val="003A3C1E"/>
    <w:rsid w:val="003A406A"/>
    <w:rsid w:val="003A411D"/>
    <w:rsid w:val="003A4679"/>
    <w:rsid w:val="003A473D"/>
    <w:rsid w:val="003A5E05"/>
    <w:rsid w:val="003A6491"/>
    <w:rsid w:val="003A77B7"/>
    <w:rsid w:val="003B05AC"/>
    <w:rsid w:val="003B075D"/>
    <w:rsid w:val="003B07D0"/>
    <w:rsid w:val="003B12E8"/>
    <w:rsid w:val="003B131F"/>
    <w:rsid w:val="003B15CF"/>
    <w:rsid w:val="003B15F3"/>
    <w:rsid w:val="003B16C3"/>
    <w:rsid w:val="003B1939"/>
    <w:rsid w:val="003B1BDF"/>
    <w:rsid w:val="003B1CFA"/>
    <w:rsid w:val="003B1D93"/>
    <w:rsid w:val="003B2577"/>
    <w:rsid w:val="003B2582"/>
    <w:rsid w:val="003B2BA6"/>
    <w:rsid w:val="003B2BC8"/>
    <w:rsid w:val="003B32B7"/>
    <w:rsid w:val="003B36A1"/>
    <w:rsid w:val="003B40A8"/>
    <w:rsid w:val="003B469A"/>
    <w:rsid w:val="003B49A7"/>
    <w:rsid w:val="003B4A26"/>
    <w:rsid w:val="003B58DE"/>
    <w:rsid w:val="003B5D63"/>
    <w:rsid w:val="003B6301"/>
    <w:rsid w:val="003B6359"/>
    <w:rsid w:val="003B6CCA"/>
    <w:rsid w:val="003B6F76"/>
    <w:rsid w:val="003B7220"/>
    <w:rsid w:val="003B7588"/>
    <w:rsid w:val="003B782E"/>
    <w:rsid w:val="003C08A0"/>
    <w:rsid w:val="003C09D7"/>
    <w:rsid w:val="003C0C1A"/>
    <w:rsid w:val="003C0C67"/>
    <w:rsid w:val="003C21D7"/>
    <w:rsid w:val="003C23F1"/>
    <w:rsid w:val="003C247C"/>
    <w:rsid w:val="003C25B7"/>
    <w:rsid w:val="003C2F1E"/>
    <w:rsid w:val="003C335E"/>
    <w:rsid w:val="003C3656"/>
    <w:rsid w:val="003C3C27"/>
    <w:rsid w:val="003C3C76"/>
    <w:rsid w:val="003C413D"/>
    <w:rsid w:val="003C41E0"/>
    <w:rsid w:val="003C4802"/>
    <w:rsid w:val="003C4A13"/>
    <w:rsid w:val="003C4E17"/>
    <w:rsid w:val="003C523F"/>
    <w:rsid w:val="003C54E5"/>
    <w:rsid w:val="003C670C"/>
    <w:rsid w:val="003C6DAD"/>
    <w:rsid w:val="003C6F02"/>
    <w:rsid w:val="003C75DE"/>
    <w:rsid w:val="003D00A4"/>
    <w:rsid w:val="003D05BD"/>
    <w:rsid w:val="003D05ED"/>
    <w:rsid w:val="003D075A"/>
    <w:rsid w:val="003D0873"/>
    <w:rsid w:val="003D0BE0"/>
    <w:rsid w:val="003D10F6"/>
    <w:rsid w:val="003D1B09"/>
    <w:rsid w:val="003D2873"/>
    <w:rsid w:val="003D2C70"/>
    <w:rsid w:val="003D2DF6"/>
    <w:rsid w:val="003D3075"/>
    <w:rsid w:val="003D3FDB"/>
    <w:rsid w:val="003D42AF"/>
    <w:rsid w:val="003D46F5"/>
    <w:rsid w:val="003D47AC"/>
    <w:rsid w:val="003D49F6"/>
    <w:rsid w:val="003D503E"/>
    <w:rsid w:val="003D50C8"/>
    <w:rsid w:val="003D50CB"/>
    <w:rsid w:val="003D58A9"/>
    <w:rsid w:val="003D58BA"/>
    <w:rsid w:val="003D5A4C"/>
    <w:rsid w:val="003D633D"/>
    <w:rsid w:val="003D6565"/>
    <w:rsid w:val="003D6B51"/>
    <w:rsid w:val="003D72D6"/>
    <w:rsid w:val="003D75EF"/>
    <w:rsid w:val="003D7989"/>
    <w:rsid w:val="003D7B08"/>
    <w:rsid w:val="003E03DE"/>
    <w:rsid w:val="003E088E"/>
    <w:rsid w:val="003E1302"/>
    <w:rsid w:val="003E3221"/>
    <w:rsid w:val="003E3A7C"/>
    <w:rsid w:val="003E3CD5"/>
    <w:rsid w:val="003E3D01"/>
    <w:rsid w:val="003E3FE7"/>
    <w:rsid w:val="003E4662"/>
    <w:rsid w:val="003E4E84"/>
    <w:rsid w:val="003E5C95"/>
    <w:rsid w:val="003E6316"/>
    <w:rsid w:val="003E67BB"/>
    <w:rsid w:val="003E6DF1"/>
    <w:rsid w:val="003E7674"/>
    <w:rsid w:val="003E7FA0"/>
    <w:rsid w:val="003F001D"/>
    <w:rsid w:val="003F03D3"/>
    <w:rsid w:val="003F09BF"/>
    <w:rsid w:val="003F0E1B"/>
    <w:rsid w:val="003F1077"/>
    <w:rsid w:val="003F1B06"/>
    <w:rsid w:val="003F1B29"/>
    <w:rsid w:val="003F1CF9"/>
    <w:rsid w:val="003F1E87"/>
    <w:rsid w:val="003F1EDF"/>
    <w:rsid w:val="003F2448"/>
    <w:rsid w:val="003F2555"/>
    <w:rsid w:val="003F2909"/>
    <w:rsid w:val="003F2DF9"/>
    <w:rsid w:val="003F42FD"/>
    <w:rsid w:val="003F4BA7"/>
    <w:rsid w:val="003F5662"/>
    <w:rsid w:val="003F598A"/>
    <w:rsid w:val="003F63F3"/>
    <w:rsid w:val="003F6C75"/>
    <w:rsid w:val="003F6CF2"/>
    <w:rsid w:val="003F7039"/>
    <w:rsid w:val="003F7605"/>
    <w:rsid w:val="003F76E8"/>
    <w:rsid w:val="003F7AF9"/>
    <w:rsid w:val="003F7BF0"/>
    <w:rsid w:val="0040045E"/>
    <w:rsid w:val="004007D8"/>
    <w:rsid w:val="00400823"/>
    <w:rsid w:val="00400A09"/>
    <w:rsid w:val="00400E7E"/>
    <w:rsid w:val="004011EA"/>
    <w:rsid w:val="004012BA"/>
    <w:rsid w:val="004015C4"/>
    <w:rsid w:val="004015CD"/>
    <w:rsid w:val="00401C3D"/>
    <w:rsid w:val="00401EA5"/>
    <w:rsid w:val="00401FB6"/>
    <w:rsid w:val="004022D1"/>
    <w:rsid w:val="00402462"/>
    <w:rsid w:val="0040330F"/>
    <w:rsid w:val="004034AD"/>
    <w:rsid w:val="004039F2"/>
    <w:rsid w:val="00403E60"/>
    <w:rsid w:val="004046E6"/>
    <w:rsid w:val="00404763"/>
    <w:rsid w:val="00404FDF"/>
    <w:rsid w:val="0040515B"/>
    <w:rsid w:val="00405E5D"/>
    <w:rsid w:val="00405FA2"/>
    <w:rsid w:val="00406543"/>
    <w:rsid w:val="00407174"/>
    <w:rsid w:val="00407D6D"/>
    <w:rsid w:val="00407D8D"/>
    <w:rsid w:val="0041002A"/>
    <w:rsid w:val="00410E14"/>
    <w:rsid w:val="00410E3D"/>
    <w:rsid w:val="004124FB"/>
    <w:rsid w:val="0041256F"/>
    <w:rsid w:val="00412673"/>
    <w:rsid w:val="00412683"/>
    <w:rsid w:val="004127DD"/>
    <w:rsid w:val="00412CA6"/>
    <w:rsid w:val="00412DF8"/>
    <w:rsid w:val="0041379B"/>
    <w:rsid w:val="00413862"/>
    <w:rsid w:val="00414010"/>
    <w:rsid w:val="004144E6"/>
    <w:rsid w:val="0041472C"/>
    <w:rsid w:val="0041569C"/>
    <w:rsid w:val="00415856"/>
    <w:rsid w:val="00415E93"/>
    <w:rsid w:val="00416251"/>
    <w:rsid w:val="0041648C"/>
    <w:rsid w:val="00416524"/>
    <w:rsid w:val="00416529"/>
    <w:rsid w:val="00416A1B"/>
    <w:rsid w:val="00416D7C"/>
    <w:rsid w:val="0041713D"/>
    <w:rsid w:val="00417226"/>
    <w:rsid w:val="00417668"/>
    <w:rsid w:val="004201CB"/>
    <w:rsid w:val="00420372"/>
    <w:rsid w:val="00420604"/>
    <w:rsid w:val="00420675"/>
    <w:rsid w:val="00420CDA"/>
    <w:rsid w:val="00420EE6"/>
    <w:rsid w:val="00421FB9"/>
    <w:rsid w:val="00422A88"/>
    <w:rsid w:val="00423107"/>
    <w:rsid w:val="00423338"/>
    <w:rsid w:val="00423395"/>
    <w:rsid w:val="00423684"/>
    <w:rsid w:val="00424476"/>
    <w:rsid w:val="00424B60"/>
    <w:rsid w:val="00424C9D"/>
    <w:rsid w:val="00424D38"/>
    <w:rsid w:val="00424DED"/>
    <w:rsid w:val="00425C27"/>
    <w:rsid w:val="004266F0"/>
    <w:rsid w:val="00426829"/>
    <w:rsid w:val="00426889"/>
    <w:rsid w:val="00426A36"/>
    <w:rsid w:val="00427578"/>
    <w:rsid w:val="00427F7E"/>
    <w:rsid w:val="00430143"/>
    <w:rsid w:val="004301CD"/>
    <w:rsid w:val="00430349"/>
    <w:rsid w:val="00430461"/>
    <w:rsid w:val="004310A0"/>
    <w:rsid w:val="0043184B"/>
    <w:rsid w:val="0043199D"/>
    <w:rsid w:val="00431B42"/>
    <w:rsid w:val="0043340A"/>
    <w:rsid w:val="00433B5B"/>
    <w:rsid w:val="004340B6"/>
    <w:rsid w:val="004345A4"/>
    <w:rsid w:val="004345CD"/>
    <w:rsid w:val="004346B6"/>
    <w:rsid w:val="00434915"/>
    <w:rsid w:val="00434C98"/>
    <w:rsid w:val="00434DBD"/>
    <w:rsid w:val="0043528C"/>
    <w:rsid w:val="00435500"/>
    <w:rsid w:val="00436283"/>
    <w:rsid w:val="004366BC"/>
    <w:rsid w:val="004374B4"/>
    <w:rsid w:val="0043764F"/>
    <w:rsid w:val="0043780A"/>
    <w:rsid w:val="004379DD"/>
    <w:rsid w:val="0044001D"/>
    <w:rsid w:val="00441461"/>
    <w:rsid w:val="00441B6A"/>
    <w:rsid w:val="00441F7C"/>
    <w:rsid w:val="00442220"/>
    <w:rsid w:val="00442DED"/>
    <w:rsid w:val="004432E9"/>
    <w:rsid w:val="004436CA"/>
    <w:rsid w:val="00444A59"/>
    <w:rsid w:val="00444A81"/>
    <w:rsid w:val="00444AED"/>
    <w:rsid w:val="004455A0"/>
    <w:rsid w:val="0044585E"/>
    <w:rsid w:val="0044598B"/>
    <w:rsid w:val="0044694B"/>
    <w:rsid w:val="00446B66"/>
    <w:rsid w:val="00446F05"/>
    <w:rsid w:val="00447059"/>
    <w:rsid w:val="004474DE"/>
    <w:rsid w:val="004476BF"/>
    <w:rsid w:val="004476CA"/>
    <w:rsid w:val="00447B92"/>
    <w:rsid w:val="00450CD7"/>
    <w:rsid w:val="00452E54"/>
    <w:rsid w:val="00453095"/>
    <w:rsid w:val="0045325B"/>
    <w:rsid w:val="00453300"/>
    <w:rsid w:val="00453BCF"/>
    <w:rsid w:val="00453D4B"/>
    <w:rsid w:val="00454701"/>
    <w:rsid w:val="00454A58"/>
    <w:rsid w:val="00454C80"/>
    <w:rsid w:val="00454E36"/>
    <w:rsid w:val="00454EC8"/>
    <w:rsid w:val="00455597"/>
    <w:rsid w:val="004559E4"/>
    <w:rsid w:val="00455FBF"/>
    <w:rsid w:val="00456ED7"/>
    <w:rsid w:val="00457730"/>
    <w:rsid w:val="004579A6"/>
    <w:rsid w:val="004600C2"/>
    <w:rsid w:val="0046067D"/>
    <w:rsid w:val="0046132F"/>
    <w:rsid w:val="0046159E"/>
    <w:rsid w:val="00461626"/>
    <w:rsid w:val="00461D52"/>
    <w:rsid w:val="00461D61"/>
    <w:rsid w:val="004621D9"/>
    <w:rsid w:val="004625DA"/>
    <w:rsid w:val="0046269E"/>
    <w:rsid w:val="00462C93"/>
    <w:rsid w:val="00462E10"/>
    <w:rsid w:val="0046314C"/>
    <w:rsid w:val="004635DC"/>
    <w:rsid w:val="004647CE"/>
    <w:rsid w:val="004647EA"/>
    <w:rsid w:val="00464925"/>
    <w:rsid w:val="0046498C"/>
    <w:rsid w:val="00464AFD"/>
    <w:rsid w:val="00464C58"/>
    <w:rsid w:val="004662D5"/>
    <w:rsid w:val="004667BD"/>
    <w:rsid w:val="004673E0"/>
    <w:rsid w:val="0046746E"/>
    <w:rsid w:val="004676BF"/>
    <w:rsid w:val="00467880"/>
    <w:rsid w:val="00467CA3"/>
    <w:rsid w:val="0047015E"/>
    <w:rsid w:val="00470662"/>
    <w:rsid w:val="00470B9C"/>
    <w:rsid w:val="00470DFB"/>
    <w:rsid w:val="00471104"/>
    <w:rsid w:val="00471366"/>
    <w:rsid w:val="00471384"/>
    <w:rsid w:val="0047166D"/>
    <w:rsid w:val="00471ACE"/>
    <w:rsid w:val="004720BB"/>
    <w:rsid w:val="00472372"/>
    <w:rsid w:val="00472491"/>
    <w:rsid w:val="00472C4E"/>
    <w:rsid w:val="00473153"/>
    <w:rsid w:val="0047323E"/>
    <w:rsid w:val="00473D1A"/>
    <w:rsid w:val="00473DE3"/>
    <w:rsid w:val="004746F5"/>
    <w:rsid w:val="00474877"/>
    <w:rsid w:val="00474A92"/>
    <w:rsid w:val="00474EF7"/>
    <w:rsid w:val="00475D0F"/>
    <w:rsid w:val="00475E2B"/>
    <w:rsid w:val="00476146"/>
    <w:rsid w:val="00476835"/>
    <w:rsid w:val="00476C67"/>
    <w:rsid w:val="00476EEE"/>
    <w:rsid w:val="00480A94"/>
    <w:rsid w:val="004811EB"/>
    <w:rsid w:val="00481203"/>
    <w:rsid w:val="00481208"/>
    <w:rsid w:val="00481262"/>
    <w:rsid w:val="00481287"/>
    <w:rsid w:val="004813E8"/>
    <w:rsid w:val="00481601"/>
    <w:rsid w:val="004816D9"/>
    <w:rsid w:val="00481A2A"/>
    <w:rsid w:val="00481A79"/>
    <w:rsid w:val="00481AAE"/>
    <w:rsid w:val="00481FA8"/>
    <w:rsid w:val="00482014"/>
    <w:rsid w:val="0048220C"/>
    <w:rsid w:val="00482B53"/>
    <w:rsid w:val="00482C3F"/>
    <w:rsid w:val="004831AC"/>
    <w:rsid w:val="0048355D"/>
    <w:rsid w:val="0048405C"/>
    <w:rsid w:val="00484B37"/>
    <w:rsid w:val="00485FA0"/>
    <w:rsid w:val="004865C5"/>
    <w:rsid w:val="004869C7"/>
    <w:rsid w:val="00486D0C"/>
    <w:rsid w:val="00486F59"/>
    <w:rsid w:val="0048718D"/>
    <w:rsid w:val="00487612"/>
    <w:rsid w:val="004876B9"/>
    <w:rsid w:val="004876E8"/>
    <w:rsid w:val="00487EE1"/>
    <w:rsid w:val="00487EE6"/>
    <w:rsid w:val="00487F15"/>
    <w:rsid w:val="004902FE"/>
    <w:rsid w:val="004904E5"/>
    <w:rsid w:val="00490648"/>
    <w:rsid w:val="00490833"/>
    <w:rsid w:val="0049089A"/>
    <w:rsid w:val="0049120D"/>
    <w:rsid w:val="00491983"/>
    <w:rsid w:val="00491A01"/>
    <w:rsid w:val="00491EA2"/>
    <w:rsid w:val="00491EDF"/>
    <w:rsid w:val="004920EE"/>
    <w:rsid w:val="00492EB4"/>
    <w:rsid w:val="004931A0"/>
    <w:rsid w:val="00493410"/>
    <w:rsid w:val="004939A5"/>
    <w:rsid w:val="00494DDC"/>
    <w:rsid w:val="004954A1"/>
    <w:rsid w:val="00495E39"/>
    <w:rsid w:val="00495E69"/>
    <w:rsid w:val="00496CC0"/>
    <w:rsid w:val="0049712E"/>
    <w:rsid w:val="00497312"/>
    <w:rsid w:val="00497A03"/>
    <w:rsid w:val="004A015D"/>
    <w:rsid w:val="004A093A"/>
    <w:rsid w:val="004A0C79"/>
    <w:rsid w:val="004A0D25"/>
    <w:rsid w:val="004A10E3"/>
    <w:rsid w:val="004A1CBC"/>
    <w:rsid w:val="004A1DD3"/>
    <w:rsid w:val="004A1F95"/>
    <w:rsid w:val="004A27A6"/>
    <w:rsid w:val="004A2A22"/>
    <w:rsid w:val="004A2AD0"/>
    <w:rsid w:val="004A2AE8"/>
    <w:rsid w:val="004A3C29"/>
    <w:rsid w:val="004A3DF5"/>
    <w:rsid w:val="004A4535"/>
    <w:rsid w:val="004A4572"/>
    <w:rsid w:val="004A501E"/>
    <w:rsid w:val="004A5823"/>
    <w:rsid w:val="004A5EA3"/>
    <w:rsid w:val="004A6637"/>
    <w:rsid w:val="004A6B20"/>
    <w:rsid w:val="004A6D76"/>
    <w:rsid w:val="004A6E7F"/>
    <w:rsid w:val="004A7267"/>
    <w:rsid w:val="004A72F5"/>
    <w:rsid w:val="004A7382"/>
    <w:rsid w:val="004A739C"/>
    <w:rsid w:val="004A749B"/>
    <w:rsid w:val="004A7A77"/>
    <w:rsid w:val="004A7E9C"/>
    <w:rsid w:val="004B0191"/>
    <w:rsid w:val="004B03AF"/>
    <w:rsid w:val="004B0ACF"/>
    <w:rsid w:val="004B10F5"/>
    <w:rsid w:val="004B1196"/>
    <w:rsid w:val="004B1669"/>
    <w:rsid w:val="004B17BA"/>
    <w:rsid w:val="004B1B22"/>
    <w:rsid w:val="004B2096"/>
    <w:rsid w:val="004B25D8"/>
    <w:rsid w:val="004B26DA"/>
    <w:rsid w:val="004B2DC6"/>
    <w:rsid w:val="004B300B"/>
    <w:rsid w:val="004B34FB"/>
    <w:rsid w:val="004B3560"/>
    <w:rsid w:val="004B3A4C"/>
    <w:rsid w:val="004B3FE9"/>
    <w:rsid w:val="004B3FF7"/>
    <w:rsid w:val="004B49C2"/>
    <w:rsid w:val="004B5163"/>
    <w:rsid w:val="004B5891"/>
    <w:rsid w:val="004B594A"/>
    <w:rsid w:val="004B5F67"/>
    <w:rsid w:val="004B68AE"/>
    <w:rsid w:val="004B6C8C"/>
    <w:rsid w:val="004B70E5"/>
    <w:rsid w:val="004B7A67"/>
    <w:rsid w:val="004B7E61"/>
    <w:rsid w:val="004C0409"/>
    <w:rsid w:val="004C047A"/>
    <w:rsid w:val="004C0580"/>
    <w:rsid w:val="004C0661"/>
    <w:rsid w:val="004C07F1"/>
    <w:rsid w:val="004C08DC"/>
    <w:rsid w:val="004C0993"/>
    <w:rsid w:val="004C0C32"/>
    <w:rsid w:val="004C0D9D"/>
    <w:rsid w:val="004C1BC3"/>
    <w:rsid w:val="004C1E37"/>
    <w:rsid w:val="004C22DA"/>
    <w:rsid w:val="004C2D2E"/>
    <w:rsid w:val="004C33A7"/>
    <w:rsid w:val="004C3872"/>
    <w:rsid w:val="004C391D"/>
    <w:rsid w:val="004C3974"/>
    <w:rsid w:val="004C458E"/>
    <w:rsid w:val="004C480E"/>
    <w:rsid w:val="004C670F"/>
    <w:rsid w:val="004C7360"/>
    <w:rsid w:val="004C791B"/>
    <w:rsid w:val="004C7A60"/>
    <w:rsid w:val="004C7EA8"/>
    <w:rsid w:val="004D07F5"/>
    <w:rsid w:val="004D12B4"/>
    <w:rsid w:val="004D1AE2"/>
    <w:rsid w:val="004D1B64"/>
    <w:rsid w:val="004D1BEB"/>
    <w:rsid w:val="004D2546"/>
    <w:rsid w:val="004D3180"/>
    <w:rsid w:val="004D37E3"/>
    <w:rsid w:val="004D3BE8"/>
    <w:rsid w:val="004D41AA"/>
    <w:rsid w:val="004D444B"/>
    <w:rsid w:val="004D4549"/>
    <w:rsid w:val="004D4699"/>
    <w:rsid w:val="004D4E11"/>
    <w:rsid w:val="004D52FC"/>
    <w:rsid w:val="004D55C7"/>
    <w:rsid w:val="004D57ED"/>
    <w:rsid w:val="004D5D8A"/>
    <w:rsid w:val="004D5F5F"/>
    <w:rsid w:val="004D6133"/>
    <w:rsid w:val="004D6755"/>
    <w:rsid w:val="004D6791"/>
    <w:rsid w:val="004D69CD"/>
    <w:rsid w:val="004D7A11"/>
    <w:rsid w:val="004E02F7"/>
    <w:rsid w:val="004E0E5D"/>
    <w:rsid w:val="004E15FD"/>
    <w:rsid w:val="004E161D"/>
    <w:rsid w:val="004E1938"/>
    <w:rsid w:val="004E23FA"/>
    <w:rsid w:val="004E24CB"/>
    <w:rsid w:val="004E28D2"/>
    <w:rsid w:val="004E2B2C"/>
    <w:rsid w:val="004E3867"/>
    <w:rsid w:val="004E3EEB"/>
    <w:rsid w:val="004E3FCD"/>
    <w:rsid w:val="004E409C"/>
    <w:rsid w:val="004E40BC"/>
    <w:rsid w:val="004E40C3"/>
    <w:rsid w:val="004E4691"/>
    <w:rsid w:val="004E4CA1"/>
    <w:rsid w:val="004E57FD"/>
    <w:rsid w:val="004E5A32"/>
    <w:rsid w:val="004E62EB"/>
    <w:rsid w:val="004E6769"/>
    <w:rsid w:val="004E6E57"/>
    <w:rsid w:val="004F0E55"/>
    <w:rsid w:val="004F10F7"/>
    <w:rsid w:val="004F117F"/>
    <w:rsid w:val="004F11D2"/>
    <w:rsid w:val="004F151A"/>
    <w:rsid w:val="004F21E7"/>
    <w:rsid w:val="004F245A"/>
    <w:rsid w:val="004F290D"/>
    <w:rsid w:val="004F3955"/>
    <w:rsid w:val="004F3A67"/>
    <w:rsid w:val="004F3B4B"/>
    <w:rsid w:val="004F4740"/>
    <w:rsid w:val="004F47FF"/>
    <w:rsid w:val="004F4F24"/>
    <w:rsid w:val="004F4FC3"/>
    <w:rsid w:val="004F5111"/>
    <w:rsid w:val="004F601D"/>
    <w:rsid w:val="004F632B"/>
    <w:rsid w:val="004F6CEF"/>
    <w:rsid w:val="004F7494"/>
    <w:rsid w:val="004F7DA5"/>
    <w:rsid w:val="004F7FF1"/>
    <w:rsid w:val="0050035C"/>
    <w:rsid w:val="00500525"/>
    <w:rsid w:val="00500925"/>
    <w:rsid w:val="005009A2"/>
    <w:rsid w:val="00500DDC"/>
    <w:rsid w:val="00500F33"/>
    <w:rsid w:val="005022AC"/>
    <w:rsid w:val="0050255E"/>
    <w:rsid w:val="00502B24"/>
    <w:rsid w:val="00502FC8"/>
    <w:rsid w:val="0050353E"/>
    <w:rsid w:val="00503F59"/>
    <w:rsid w:val="00503F66"/>
    <w:rsid w:val="00504135"/>
    <w:rsid w:val="0050473E"/>
    <w:rsid w:val="005048D5"/>
    <w:rsid w:val="005049A9"/>
    <w:rsid w:val="00505299"/>
    <w:rsid w:val="005055DA"/>
    <w:rsid w:val="00505B51"/>
    <w:rsid w:val="00505BA1"/>
    <w:rsid w:val="00506CBB"/>
    <w:rsid w:val="0050774B"/>
    <w:rsid w:val="005077EB"/>
    <w:rsid w:val="00507929"/>
    <w:rsid w:val="00507D7F"/>
    <w:rsid w:val="00507E6C"/>
    <w:rsid w:val="00507FB6"/>
    <w:rsid w:val="005106F4"/>
    <w:rsid w:val="0051070D"/>
    <w:rsid w:val="0051183A"/>
    <w:rsid w:val="00512048"/>
    <w:rsid w:val="00513510"/>
    <w:rsid w:val="005135B5"/>
    <w:rsid w:val="00513600"/>
    <w:rsid w:val="00513C74"/>
    <w:rsid w:val="00514009"/>
    <w:rsid w:val="005143B3"/>
    <w:rsid w:val="00514AF2"/>
    <w:rsid w:val="00514E94"/>
    <w:rsid w:val="00515764"/>
    <w:rsid w:val="00515C0F"/>
    <w:rsid w:val="005160C8"/>
    <w:rsid w:val="00516612"/>
    <w:rsid w:val="00516C3B"/>
    <w:rsid w:val="00516C8C"/>
    <w:rsid w:val="00516F23"/>
    <w:rsid w:val="0051726E"/>
    <w:rsid w:val="005174B2"/>
    <w:rsid w:val="005179D9"/>
    <w:rsid w:val="00517E31"/>
    <w:rsid w:val="00517E41"/>
    <w:rsid w:val="00517EF4"/>
    <w:rsid w:val="00520010"/>
    <w:rsid w:val="0052002A"/>
    <w:rsid w:val="00520DC4"/>
    <w:rsid w:val="0052100A"/>
    <w:rsid w:val="005212D6"/>
    <w:rsid w:val="00522842"/>
    <w:rsid w:val="00522F4C"/>
    <w:rsid w:val="00523159"/>
    <w:rsid w:val="005231BA"/>
    <w:rsid w:val="00523F7C"/>
    <w:rsid w:val="00524482"/>
    <w:rsid w:val="0052467D"/>
    <w:rsid w:val="005248E2"/>
    <w:rsid w:val="0052494D"/>
    <w:rsid w:val="00525730"/>
    <w:rsid w:val="00525776"/>
    <w:rsid w:val="00525BF7"/>
    <w:rsid w:val="00525CEB"/>
    <w:rsid w:val="005260C4"/>
    <w:rsid w:val="005262AF"/>
    <w:rsid w:val="005265EC"/>
    <w:rsid w:val="00526CA6"/>
    <w:rsid w:val="00527115"/>
    <w:rsid w:val="00527282"/>
    <w:rsid w:val="00527F59"/>
    <w:rsid w:val="005304D1"/>
    <w:rsid w:val="00530D76"/>
    <w:rsid w:val="00530F8A"/>
    <w:rsid w:val="005313B4"/>
    <w:rsid w:val="00531C87"/>
    <w:rsid w:val="00532405"/>
    <w:rsid w:val="00532855"/>
    <w:rsid w:val="005339D7"/>
    <w:rsid w:val="00534481"/>
    <w:rsid w:val="00535574"/>
    <w:rsid w:val="00535BB4"/>
    <w:rsid w:val="005362AF"/>
    <w:rsid w:val="00536A64"/>
    <w:rsid w:val="00536D5C"/>
    <w:rsid w:val="00536D81"/>
    <w:rsid w:val="005371B9"/>
    <w:rsid w:val="00537280"/>
    <w:rsid w:val="005373C8"/>
    <w:rsid w:val="0053765F"/>
    <w:rsid w:val="0054019D"/>
    <w:rsid w:val="005408BD"/>
    <w:rsid w:val="00540E1C"/>
    <w:rsid w:val="0054120D"/>
    <w:rsid w:val="00541494"/>
    <w:rsid w:val="00541572"/>
    <w:rsid w:val="00541B15"/>
    <w:rsid w:val="00541D64"/>
    <w:rsid w:val="00541F46"/>
    <w:rsid w:val="005425BD"/>
    <w:rsid w:val="00542654"/>
    <w:rsid w:val="005426B1"/>
    <w:rsid w:val="00542ADC"/>
    <w:rsid w:val="00542E2B"/>
    <w:rsid w:val="00543013"/>
    <w:rsid w:val="005432CC"/>
    <w:rsid w:val="00543644"/>
    <w:rsid w:val="005437A7"/>
    <w:rsid w:val="00543FBC"/>
    <w:rsid w:val="005440EA"/>
    <w:rsid w:val="00544BE1"/>
    <w:rsid w:val="00544DC7"/>
    <w:rsid w:val="005456B5"/>
    <w:rsid w:val="00545E0D"/>
    <w:rsid w:val="00546716"/>
    <w:rsid w:val="0054697F"/>
    <w:rsid w:val="00546E34"/>
    <w:rsid w:val="005478C4"/>
    <w:rsid w:val="005479EF"/>
    <w:rsid w:val="00547DA1"/>
    <w:rsid w:val="00547E2E"/>
    <w:rsid w:val="0055041E"/>
    <w:rsid w:val="00550CD7"/>
    <w:rsid w:val="005511A2"/>
    <w:rsid w:val="005512B0"/>
    <w:rsid w:val="005512DF"/>
    <w:rsid w:val="00551A09"/>
    <w:rsid w:val="00552323"/>
    <w:rsid w:val="00553F1B"/>
    <w:rsid w:val="005543D3"/>
    <w:rsid w:val="00554BEC"/>
    <w:rsid w:val="00554DCA"/>
    <w:rsid w:val="00554FF4"/>
    <w:rsid w:val="005550B7"/>
    <w:rsid w:val="0055510B"/>
    <w:rsid w:val="005551E9"/>
    <w:rsid w:val="005557B4"/>
    <w:rsid w:val="0055582B"/>
    <w:rsid w:val="005559BF"/>
    <w:rsid w:val="00555A39"/>
    <w:rsid w:val="00555B3B"/>
    <w:rsid w:val="00556027"/>
    <w:rsid w:val="00557027"/>
    <w:rsid w:val="005579E4"/>
    <w:rsid w:val="00557DAD"/>
    <w:rsid w:val="00560516"/>
    <w:rsid w:val="005605F1"/>
    <w:rsid w:val="005613C6"/>
    <w:rsid w:val="005614F1"/>
    <w:rsid w:val="005615C1"/>
    <w:rsid w:val="00561881"/>
    <w:rsid w:val="005619E0"/>
    <w:rsid w:val="00561B72"/>
    <w:rsid w:val="00562C20"/>
    <w:rsid w:val="00562CD7"/>
    <w:rsid w:val="00562D47"/>
    <w:rsid w:val="005632C8"/>
    <w:rsid w:val="00563307"/>
    <w:rsid w:val="0056380A"/>
    <w:rsid w:val="00563D6B"/>
    <w:rsid w:val="005645D6"/>
    <w:rsid w:val="00564BBE"/>
    <w:rsid w:val="00564FF3"/>
    <w:rsid w:val="00565B7C"/>
    <w:rsid w:val="00566746"/>
    <w:rsid w:val="00566869"/>
    <w:rsid w:val="00566995"/>
    <w:rsid w:val="00566D87"/>
    <w:rsid w:val="00567276"/>
    <w:rsid w:val="005676C7"/>
    <w:rsid w:val="00567EF1"/>
    <w:rsid w:val="005700C0"/>
    <w:rsid w:val="005703D0"/>
    <w:rsid w:val="00570496"/>
    <w:rsid w:val="00570B2B"/>
    <w:rsid w:val="0057113D"/>
    <w:rsid w:val="00571B82"/>
    <w:rsid w:val="00572BE9"/>
    <w:rsid w:val="00572D60"/>
    <w:rsid w:val="005733C8"/>
    <w:rsid w:val="00573E92"/>
    <w:rsid w:val="00574096"/>
    <w:rsid w:val="0057423D"/>
    <w:rsid w:val="00574582"/>
    <w:rsid w:val="00574F6A"/>
    <w:rsid w:val="00574FB3"/>
    <w:rsid w:val="00576F70"/>
    <w:rsid w:val="00576F74"/>
    <w:rsid w:val="00577477"/>
    <w:rsid w:val="00577921"/>
    <w:rsid w:val="005807D5"/>
    <w:rsid w:val="00581179"/>
    <w:rsid w:val="005827FE"/>
    <w:rsid w:val="00582EAD"/>
    <w:rsid w:val="005837D6"/>
    <w:rsid w:val="00583989"/>
    <w:rsid w:val="00583CD5"/>
    <w:rsid w:val="00583D98"/>
    <w:rsid w:val="0058441A"/>
    <w:rsid w:val="005845B1"/>
    <w:rsid w:val="00584605"/>
    <w:rsid w:val="00584940"/>
    <w:rsid w:val="00584C2D"/>
    <w:rsid w:val="005855D9"/>
    <w:rsid w:val="00585D8C"/>
    <w:rsid w:val="00586EBC"/>
    <w:rsid w:val="00587132"/>
    <w:rsid w:val="00587E3A"/>
    <w:rsid w:val="0059051B"/>
    <w:rsid w:val="005908A1"/>
    <w:rsid w:val="00590EC1"/>
    <w:rsid w:val="00591133"/>
    <w:rsid w:val="005914D7"/>
    <w:rsid w:val="0059184F"/>
    <w:rsid w:val="0059209E"/>
    <w:rsid w:val="005920EE"/>
    <w:rsid w:val="0059263C"/>
    <w:rsid w:val="00592654"/>
    <w:rsid w:val="00592CD7"/>
    <w:rsid w:val="00593331"/>
    <w:rsid w:val="00593DA2"/>
    <w:rsid w:val="00593E4C"/>
    <w:rsid w:val="0059409A"/>
    <w:rsid w:val="005944FC"/>
    <w:rsid w:val="005948CA"/>
    <w:rsid w:val="00594AB1"/>
    <w:rsid w:val="005965C4"/>
    <w:rsid w:val="005969F7"/>
    <w:rsid w:val="00596B9F"/>
    <w:rsid w:val="00596BE3"/>
    <w:rsid w:val="00597028"/>
    <w:rsid w:val="005973F0"/>
    <w:rsid w:val="005975D1"/>
    <w:rsid w:val="005978DA"/>
    <w:rsid w:val="00597B3E"/>
    <w:rsid w:val="005A035F"/>
    <w:rsid w:val="005A099C"/>
    <w:rsid w:val="005A0F71"/>
    <w:rsid w:val="005A1446"/>
    <w:rsid w:val="005A1A11"/>
    <w:rsid w:val="005A344B"/>
    <w:rsid w:val="005A3512"/>
    <w:rsid w:val="005A3CB5"/>
    <w:rsid w:val="005A3F69"/>
    <w:rsid w:val="005A4650"/>
    <w:rsid w:val="005A47CF"/>
    <w:rsid w:val="005A54DC"/>
    <w:rsid w:val="005A5D1E"/>
    <w:rsid w:val="005A65F5"/>
    <w:rsid w:val="005A70B3"/>
    <w:rsid w:val="005B03BD"/>
    <w:rsid w:val="005B0556"/>
    <w:rsid w:val="005B0799"/>
    <w:rsid w:val="005B0C01"/>
    <w:rsid w:val="005B0CC3"/>
    <w:rsid w:val="005B0FEA"/>
    <w:rsid w:val="005B15A5"/>
    <w:rsid w:val="005B15D2"/>
    <w:rsid w:val="005B1A88"/>
    <w:rsid w:val="005B2ABF"/>
    <w:rsid w:val="005B2B08"/>
    <w:rsid w:val="005B3F63"/>
    <w:rsid w:val="005B4E0D"/>
    <w:rsid w:val="005B50C9"/>
    <w:rsid w:val="005B5AB3"/>
    <w:rsid w:val="005B6351"/>
    <w:rsid w:val="005B66C9"/>
    <w:rsid w:val="005B68A1"/>
    <w:rsid w:val="005B6DF4"/>
    <w:rsid w:val="005B7419"/>
    <w:rsid w:val="005B76B9"/>
    <w:rsid w:val="005B7E9B"/>
    <w:rsid w:val="005C061C"/>
    <w:rsid w:val="005C0E47"/>
    <w:rsid w:val="005C142C"/>
    <w:rsid w:val="005C1EDD"/>
    <w:rsid w:val="005C1F7D"/>
    <w:rsid w:val="005C2B13"/>
    <w:rsid w:val="005C2BFC"/>
    <w:rsid w:val="005C31F3"/>
    <w:rsid w:val="005C39FD"/>
    <w:rsid w:val="005C3A8A"/>
    <w:rsid w:val="005C4BD3"/>
    <w:rsid w:val="005C4C1B"/>
    <w:rsid w:val="005C4DBD"/>
    <w:rsid w:val="005C4F93"/>
    <w:rsid w:val="005C4FFB"/>
    <w:rsid w:val="005C5339"/>
    <w:rsid w:val="005C552D"/>
    <w:rsid w:val="005C609B"/>
    <w:rsid w:val="005C61A5"/>
    <w:rsid w:val="005C61FD"/>
    <w:rsid w:val="005C656B"/>
    <w:rsid w:val="005C6706"/>
    <w:rsid w:val="005C6B64"/>
    <w:rsid w:val="005C6E12"/>
    <w:rsid w:val="005C75C0"/>
    <w:rsid w:val="005C76AD"/>
    <w:rsid w:val="005C794A"/>
    <w:rsid w:val="005C79C8"/>
    <w:rsid w:val="005C7BF7"/>
    <w:rsid w:val="005C7F71"/>
    <w:rsid w:val="005C7FBE"/>
    <w:rsid w:val="005D018C"/>
    <w:rsid w:val="005D0412"/>
    <w:rsid w:val="005D052C"/>
    <w:rsid w:val="005D0C77"/>
    <w:rsid w:val="005D0D31"/>
    <w:rsid w:val="005D105D"/>
    <w:rsid w:val="005D1DA6"/>
    <w:rsid w:val="005D1F84"/>
    <w:rsid w:val="005D29DA"/>
    <w:rsid w:val="005D2B31"/>
    <w:rsid w:val="005D33C1"/>
    <w:rsid w:val="005D3636"/>
    <w:rsid w:val="005D3889"/>
    <w:rsid w:val="005D38B0"/>
    <w:rsid w:val="005D3ED9"/>
    <w:rsid w:val="005D4591"/>
    <w:rsid w:val="005D4A72"/>
    <w:rsid w:val="005D4DB9"/>
    <w:rsid w:val="005D5782"/>
    <w:rsid w:val="005D57F6"/>
    <w:rsid w:val="005D65D7"/>
    <w:rsid w:val="005D6B38"/>
    <w:rsid w:val="005D6D7D"/>
    <w:rsid w:val="005D6EE5"/>
    <w:rsid w:val="005D7750"/>
    <w:rsid w:val="005D794A"/>
    <w:rsid w:val="005D7A53"/>
    <w:rsid w:val="005E047A"/>
    <w:rsid w:val="005E1022"/>
    <w:rsid w:val="005E12C5"/>
    <w:rsid w:val="005E1417"/>
    <w:rsid w:val="005E146E"/>
    <w:rsid w:val="005E1A80"/>
    <w:rsid w:val="005E2026"/>
    <w:rsid w:val="005E295D"/>
    <w:rsid w:val="005E2F0C"/>
    <w:rsid w:val="005E35E0"/>
    <w:rsid w:val="005E37CB"/>
    <w:rsid w:val="005E3DDD"/>
    <w:rsid w:val="005E40F5"/>
    <w:rsid w:val="005E4232"/>
    <w:rsid w:val="005E52F5"/>
    <w:rsid w:val="005E56E7"/>
    <w:rsid w:val="005E5D69"/>
    <w:rsid w:val="005E6B45"/>
    <w:rsid w:val="005E7611"/>
    <w:rsid w:val="005E7C8E"/>
    <w:rsid w:val="005F03E4"/>
    <w:rsid w:val="005F0628"/>
    <w:rsid w:val="005F0788"/>
    <w:rsid w:val="005F0C01"/>
    <w:rsid w:val="005F0E07"/>
    <w:rsid w:val="005F156A"/>
    <w:rsid w:val="005F1571"/>
    <w:rsid w:val="005F294F"/>
    <w:rsid w:val="005F297A"/>
    <w:rsid w:val="005F3759"/>
    <w:rsid w:val="005F3776"/>
    <w:rsid w:val="005F3909"/>
    <w:rsid w:val="005F3CDE"/>
    <w:rsid w:val="005F4075"/>
    <w:rsid w:val="005F42E4"/>
    <w:rsid w:val="005F4D2B"/>
    <w:rsid w:val="005F4EAE"/>
    <w:rsid w:val="005F57D5"/>
    <w:rsid w:val="005F5E14"/>
    <w:rsid w:val="005F60C3"/>
    <w:rsid w:val="005F61DA"/>
    <w:rsid w:val="005F6C68"/>
    <w:rsid w:val="005F6EC5"/>
    <w:rsid w:val="005F6FB5"/>
    <w:rsid w:val="005F7753"/>
    <w:rsid w:val="005F7999"/>
    <w:rsid w:val="006000B2"/>
    <w:rsid w:val="00600224"/>
    <w:rsid w:val="00600948"/>
    <w:rsid w:val="00600FD5"/>
    <w:rsid w:val="0060102F"/>
    <w:rsid w:val="00601A9E"/>
    <w:rsid w:val="00601AF4"/>
    <w:rsid w:val="00602335"/>
    <w:rsid w:val="0060237A"/>
    <w:rsid w:val="00602391"/>
    <w:rsid w:val="0060275A"/>
    <w:rsid w:val="00602F91"/>
    <w:rsid w:val="006032A3"/>
    <w:rsid w:val="006038A0"/>
    <w:rsid w:val="006041CD"/>
    <w:rsid w:val="00604804"/>
    <w:rsid w:val="006048DE"/>
    <w:rsid w:val="00604A75"/>
    <w:rsid w:val="006054F1"/>
    <w:rsid w:val="006055D3"/>
    <w:rsid w:val="006067E3"/>
    <w:rsid w:val="006078D8"/>
    <w:rsid w:val="00607D83"/>
    <w:rsid w:val="00607E66"/>
    <w:rsid w:val="006100BB"/>
    <w:rsid w:val="00611374"/>
    <w:rsid w:val="0061199F"/>
    <w:rsid w:val="006119D2"/>
    <w:rsid w:val="00611C6B"/>
    <w:rsid w:val="0061251B"/>
    <w:rsid w:val="00612ACA"/>
    <w:rsid w:val="00612B46"/>
    <w:rsid w:val="0061321E"/>
    <w:rsid w:val="006134C0"/>
    <w:rsid w:val="00613713"/>
    <w:rsid w:val="006137BC"/>
    <w:rsid w:val="00613ABF"/>
    <w:rsid w:val="00613D2F"/>
    <w:rsid w:val="00614251"/>
    <w:rsid w:val="0061497D"/>
    <w:rsid w:val="00614C58"/>
    <w:rsid w:val="00615310"/>
    <w:rsid w:val="006157E1"/>
    <w:rsid w:val="00615F76"/>
    <w:rsid w:val="00616318"/>
    <w:rsid w:val="00616646"/>
    <w:rsid w:val="00616B5C"/>
    <w:rsid w:val="00616DE2"/>
    <w:rsid w:val="00617028"/>
    <w:rsid w:val="00617937"/>
    <w:rsid w:val="00617DA3"/>
    <w:rsid w:val="00617F5E"/>
    <w:rsid w:val="00617F7C"/>
    <w:rsid w:val="006203E9"/>
    <w:rsid w:val="0062054F"/>
    <w:rsid w:val="00620DA2"/>
    <w:rsid w:val="006210BA"/>
    <w:rsid w:val="00621C60"/>
    <w:rsid w:val="00621CFE"/>
    <w:rsid w:val="006225F2"/>
    <w:rsid w:val="006228BF"/>
    <w:rsid w:val="00622AF0"/>
    <w:rsid w:val="00623123"/>
    <w:rsid w:val="00623748"/>
    <w:rsid w:val="00623C10"/>
    <w:rsid w:val="006244FF"/>
    <w:rsid w:val="006246A1"/>
    <w:rsid w:val="00624A65"/>
    <w:rsid w:val="00624F02"/>
    <w:rsid w:val="00624FDD"/>
    <w:rsid w:val="00625855"/>
    <w:rsid w:val="00625EDD"/>
    <w:rsid w:val="0062616E"/>
    <w:rsid w:val="00626E33"/>
    <w:rsid w:val="00626F48"/>
    <w:rsid w:val="0063003B"/>
    <w:rsid w:val="0063043F"/>
    <w:rsid w:val="0063044F"/>
    <w:rsid w:val="006307AA"/>
    <w:rsid w:val="00630878"/>
    <w:rsid w:val="006309C1"/>
    <w:rsid w:val="00630AFE"/>
    <w:rsid w:val="00630EAC"/>
    <w:rsid w:val="006312F5"/>
    <w:rsid w:val="00631AA0"/>
    <w:rsid w:val="00631D8E"/>
    <w:rsid w:val="00632049"/>
    <w:rsid w:val="0063211B"/>
    <w:rsid w:val="00632713"/>
    <w:rsid w:val="00632A21"/>
    <w:rsid w:val="00632CCE"/>
    <w:rsid w:val="00632E4E"/>
    <w:rsid w:val="006337C8"/>
    <w:rsid w:val="006338DE"/>
    <w:rsid w:val="0063393D"/>
    <w:rsid w:val="00633EE1"/>
    <w:rsid w:val="00634265"/>
    <w:rsid w:val="00634571"/>
    <w:rsid w:val="00634D18"/>
    <w:rsid w:val="00634E7C"/>
    <w:rsid w:val="0063510E"/>
    <w:rsid w:val="00635202"/>
    <w:rsid w:val="00635638"/>
    <w:rsid w:val="00635816"/>
    <w:rsid w:val="006366B9"/>
    <w:rsid w:val="00636D0B"/>
    <w:rsid w:val="006379D8"/>
    <w:rsid w:val="00637A59"/>
    <w:rsid w:val="00637BA0"/>
    <w:rsid w:val="00637C94"/>
    <w:rsid w:val="00637D6B"/>
    <w:rsid w:val="00637D76"/>
    <w:rsid w:val="0064094E"/>
    <w:rsid w:val="00640B6E"/>
    <w:rsid w:val="00640C75"/>
    <w:rsid w:val="0064181A"/>
    <w:rsid w:val="00641937"/>
    <w:rsid w:val="006426C9"/>
    <w:rsid w:val="0064308A"/>
    <w:rsid w:val="0064316C"/>
    <w:rsid w:val="0064342E"/>
    <w:rsid w:val="00643939"/>
    <w:rsid w:val="0064432C"/>
    <w:rsid w:val="00644B21"/>
    <w:rsid w:val="00644B60"/>
    <w:rsid w:val="00644D9A"/>
    <w:rsid w:val="00644F4E"/>
    <w:rsid w:val="0064513E"/>
    <w:rsid w:val="006454AA"/>
    <w:rsid w:val="00646B2B"/>
    <w:rsid w:val="00647406"/>
    <w:rsid w:val="0064790D"/>
    <w:rsid w:val="00647ED5"/>
    <w:rsid w:val="006500A6"/>
    <w:rsid w:val="006502D0"/>
    <w:rsid w:val="00650472"/>
    <w:rsid w:val="00650583"/>
    <w:rsid w:val="0065066B"/>
    <w:rsid w:val="00650B39"/>
    <w:rsid w:val="006515A6"/>
    <w:rsid w:val="00652384"/>
    <w:rsid w:val="00652650"/>
    <w:rsid w:val="006528A1"/>
    <w:rsid w:val="00653710"/>
    <w:rsid w:val="00653F26"/>
    <w:rsid w:val="006541B1"/>
    <w:rsid w:val="00655412"/>
    <w:rsid w:val="00655973"/>
    <w:rsid w:val="00656286"/>
    <w:rsid w:val="0065675C"/>
    <w:rsid w:val="00656D71"/>
    <w:rsid w:val="006570C5"/>
    <w:rsid w:val="006570D0"/>
    <w:rsid w:val="00657580"/>
    <w:rsid w:val="00661460"/>
    <w:rsid w:val="006615C5"/>
    <w:rsid w:val="00661782"/>
    <w:rsid w:val="006618EA"/>
    <w:rsid w:val="00661ABA"/>
    <w:rsid w:val="00661EE0"/>
    <w:rsid w:val="006636F6"/>
    <w:rsid w:val="00663A08"/>
    <w:rsid w:val="00663DEB"/>
    <w:rsid w:val="00664083"/>
    <w:rsid w:val="00664384"/>
    <w:rsid w:val="0066469B"/>
    <w:rsid w:val="0066486E"/>
    <w:rsid w:val="00664E4B"/>
    <w:rsid w:val="00664EBA"/>
    <w:rsid w:val="00665271"/>
    <w:rsid w:val="0066533F"/>
    <w:rsid w:val="00665619"/>
    <w:rsid w:val="00665E4E"/>
    <w:rsid w:val="006667AA"/>
    <w:rsid w:val="0066684D"/>
    <w:rsid w:val="006675BB"/>
    <w:rsid w:val="0066761F"/>
    <w:rsid w:val="006676B3"/>
    <w:rsid w:val="0066792E"/>
    <w:rsid w:val="006706E1"/>
    <w:rsid w:val="00670DFF"/>
    <w:rsid w:val="00670EEA"/>
    <w:rsid w:val="0067114E"/>
    <w:rsid w:val="00671968"/>
    <w:rsid w:val="00672353"/>
    <w:rsid w:val="006723B9"/>
    <w:rsid w:val="006727F9"/>
    <w:rsid w:val="006732A5"/>
    <w:rsid w:val="006736CC"/>
    <w:rsid w:val="006739CC"/>
    <w:rsid w:val="00674A40"/>
    <w:rsid w:val="00675B63"/>
    <w:rsid w:val="00675B7F"/>
    <w:rsid w:val="00676C17"/>
    <w:rsid w:val="00676D40"/>
    <w:rsid w:val="00676DBF"/>
    <w:rsid w:val="00676F41"/>
    <w:rsid w:val="006772B4"/>
    <w:rsid w:val="00680261"/>
    <w:rsid w:val="00680305"/>
    <w:rsid w:val="00680912"/>
    <w:rsid w:val="00681792"/>
    <w:rsid w:val="006819D8"/>
    <w:rsid w:val="00681A74"/>
    <w:rsid w:val="00681B4F"/>
    <w:rsid w:val="00681B65"/>
    <w:rsid w:val="00682145"/>
    <w:rsid w:val="006829AC"/>
    <w:rsid w:val="00683B30"/>
    <w:rsid w:val="006840D7"/>
    <w:rsid w:val="00684487"/>
    <w:rsid w:val="0068509C"/>
    <w:rsid w:val="006850C2"/>
    <w:rsid w:val="006850D1"/>
    <w:rsid w:val="006850DC"/>
    <w:rsid w:val="0068556A"/>
    <w:rsid w:val="0068574E"/>
    <w:rsid w:val="00685B40"/>
    <w:rsid w:val="00686145"/>
    <w:rsid w:val="006863B2"/>
    <w:rsid w:val="0068686F"/>
    <w:rsid w:val="00686C5D"/>
    <w:rsid w:val="0068724F"/>
    <w:rsid w:val="006873F2"/>
    <w:rsid w:val="00687CCE"/>
    <w:rsid w:val="00687D02"/>
    <w:rsid w:val="006901A0"/>
    <w:rsid w:val="00690276"/>
    <w:rsid w:val="006904F8"/>
    <w:rsid w:val="00690865"/>
    <w:rsid w:val="00690A44"/>
    <w:rsid w:val="00690C7C"/>
    <w:rsid w:val="00690CC8"/>
    <w:rsid w:val="00690FAB"/>
    <w:rsid w:val="006918E3"/>
    <w:rsid w:val="00691DD0"/>
    <w:rsid w:val="006926F7"/>
    <w:rsid w:val="00692B1A"/>
    <w:rsid w:val="00692FE0"/>
    <w:rsid w:val="006930BF"/>
    <w:rsid w:val="00693636"/>
    <w:rsid w:val="00694529"/>
    <w:rsid w:val="006951E6"/>
    <w:rsid w:val="00695798"/>
    <w:rsid w:val="00695A5C"/>
    <w:rsid w:val="00696752"/>
    <w:rsid w:val="0069683E"/>
    <w:rsid w:val="0069767B"/>
    <w:rsid w:val="00697D48"/>
    <w:rsid w:val="00697ED4"/>
    <w:rsid w:val="00697F25"/>
    <w:rsid w:val="006A00F1"/>
    <w:rsid w:val="006A09BD"/>
    <w:rsid w:val="006A0C11"/>
    <w:rsid w:val="006A0D9B"/>
    <w:rsid w:val="006A0F76"/>
    <w:rsid w:val="006A12FE"/>
    <w:rsid w:val="006A1933"/>
    <w:rsid w:val="006A2EBA"/>
    <w:rsid w:val="006A465D"/>
    <w:rsid w:val="006A59B6"/>
    <w:rsid w:val="006A5D01"/>
    <w:rsid w:val="006A6289"/>
    <w:rsid w:val="006A648F"/>
    <w:rsid w:val="006A6652"/>
    <w:rsid w:val="006A68DF"/>
    <w:rsid w:val="006A6EDC"/>
    <w:rsid w:val="006A7360"/>
    <w:rsid w:val="006A78B5"/>
    <w:rsid w:val="006A7FBF"/>
    <w:rsid w:val="006B08A2"/>
    <w:rsid w:val="006B1268"/>
    <w:rsid w:val="006B13A4"/>
    <w:rsid w:val="006B1A4A"/>
    <w:rsid w:val="006B1D27"/>
    <w:rsid w:val="006B2165"/>
    <w:rsid w:val="006B2D43"/>
    <w:rsid w:val="006B2F70"/>
    <w:rsid w:val="006B3026"/>
    <w:rsid w:val="006B32EF"/>
    <w:rsid w:val="006B4650"/>
    <w:rsid w:val="006B489B"/>
    <w:rsid w:val="006B4D27"/>
    <w:rsid w:val="006B5052"/>
    <w:rsid w:val="006B5850"/>
    <w:rsid w:val="006B5F4E"/>
    <w:rsid w:val="006B63A3"/>
    <w:rsid w:val="006B687B"/>
    <w:rsid w:val="006B6AB9"/>
    <w:rsid w:val="006B71FA"/>
    <w:rsid w:val="006B744D"/>
    <w:rsid w:val="006B7570"/>
    <w:rsid w:val="006B75B3"/>
    <w:rsid w:val="006B7ABC"/>
    <w:rsid w:val="006B7D05"/>
    <w:rsid w:val="006C157C"/>
    <w:rsid w:val="006C16A2"/>
    <w:rsid w:val="006C1AA7"/>
    <w:rsid w:val="006C287F"/>
    <w:rsid w:val="006C2ADD"/>
    <w:rsid w:val="006C41BB"/>
    <w:rsid w:val="006C5605"/>
    <w:rsid w:val="006C5870"/>
    <w:rsid w:val="006C5AB1"/>
    <w:rsid w:val="006C6272"/>
    <w:rsid w:val="006C6832"/>
    <w:rsid w:val="006C6958"/>
    <w:rsid w:val="006C6E5C"/>
    <w:rsid w:val="006C6F86"/>
    <w:rsid w:val="006C7E12"/>
    <w:rsid w:val="006C7F32"/>
    <w:rsid w:val="006D01D5"/>
    <w:rsid w:val="006D09E4"/>
    <w:rsid w:val="006D158E"/>
    <w:rsid w:val="006D18B6"/>
    <w:rsid w:val="006D1A21"/>
    <w:rsid w:val="006D1E0D"/>
    <w:rsid w:val="006D217B"/>
    <w:rsid w:val="006D26D7"/>
    <w:rsid w:val="006D2FC3"/>
    <w:rsid w:val="006D303D"/>
    <w:rsid w:val="006D3428"/>
    <w:rsid w:val="006D35EE"/>
    <w:rsid w:val="006D3771"/>
    <w:rsid w:val="006D3EE5"/>
    <w:rsid w:val="006D44CD"/>
    <w:rsid w:val="006D4AC1"/>
    <w:rsid w:val="006D537D"/>
    <w:rsid w:val="006D53C3"/>
    <w:rsid w:val="006D566A"/>
    <w:rsid w:val="006D5850"/>
    <w:rsid w:val="006D629C"/>
    <w:rsid w:val="006D652E"/>
    <w:rsid w:val="006D663A"/>
    <w:rsid w:val="006D6B8A"/>
    <w:rsid w:val="006D6F18"/>
    <w:rsid w:val="006D6F3D"/>
    <w:rsid w:val="006D7001"/>
    <w:rsid w:val="006D7191"/>
    <w:rsid w:val="006D780C"/>
    <w:rsid w:val="006E0090"/>
    <w:rsid w:val="006E03D5"/>
    <w:rsid w:val="006E0825"/>
    <w:rsid w:val="006E199B"/>
    <w:rsid w:val="006E1C06"/>
    <w:rsid w:val="006E1C63"/>
    <w:rsid w:val="006E1CD6"/>
    <w:rsid w:val="006E236D"/>
    <w:rsid w:val="006E2998"/>
    <w:rsid w:val="006E3628"/>
    <w:rsid w:val="006E376B"/>
    <w:rsid w:val="006E379C"/>
    <w:rsid w:val="006E3E15"/>
    <w:rsid w:val="006E3E7E"/>
    <w:rsid w:val="006E3F53"/>
    <w:rsid w:val="006E3FCF"/>
    <w:rsid w:val="006E3FD5"/>
    <w:rsid w:val="006E4018"/>
    <w:rsid w:val="006E46D3"/>
    <w:rsid w:val="006E4964"/>
    <w:rsid w:val="006E5476"/>
    <w:rsid w:val="006E5BCB"/>
    <w:rsid w:val="006E62EE"/>
    <w:rsid w:val="006E7457"/>
    <w:rsid w:val="006E7891"/>
    <w:rsid w:val="006E7C13"/>
    <w:rsid w:val="006E7D57"/>
    <w:rsid w:val="006E7F49"/>
    <w:rsid w:val="006F010E"/>
    <w:rsid w:val="006F05C4"/>
    <w:rsid w:val="006F0941"/>
    <w:rsid w:val="006F1479"/>
    <w:rsid w:val="006F1CEC"/>
    <w:rsid w:val="006F1D1F"/>
    <w:rsid w:val="006F2048"/>
    <w:rsid w:val="006F23E0"/>
    <w:rsid w:val="006F2401"/>
    <w:rsid w:val="006F244E"/>
    <w:rsid w:val="006F2555"/>
    <w:rsid w:val="006F403D"/>
    <w:rsid w:val="006F434C"/>
    <w:rsid w:val="006F47DB"/>
    <w:rsid w:val="006F486D"/>
    <w:rsid w:val="006F4B09"/>
    <w:rsid w:val="006F4C70"/>
    <w:rsid w:val="006F5258"/>
    <w:rsid w:val="006F5648"/>
    <w:rsid w:val="006F5DF9"/>
    <w:rsid w:val="006F5FF6"/>
    <w:rsid w:val="006F60BC"/>
    <w:rsid w:val="006F6196"/>
    <w:rsid w:val="006F6C28"/>
    <w:rsid w:val="006F6F60"/>
    <w:rsid w:val="006F7319"/>
    <w:rsid w:val="006F74A9"/>
    <w:rsid w:val="006F7899"/>
    <w:rsid w:val="006F7EA1"/>
    <w:rsid w:val="0070001B"/>
    <w:rsid w:val="007008E1"/>
    <w:rsid w:val="00701288"/>
    <w:rsid w:val="00701441"/>
    <w:rsid w:val="00701552"/>
    <w:rsid w:val="00701CAF"/>
    <w:rsid w:val="0070220A"/>
    <w:rsid w:val="00702B28"/>
    <w:rsid w:val="007031F4"/>
    <w:rsid w:val="007031F8"/>
    <w:rsid w:val="007037BD"/>
    <w:rsid w:val="00703D3E"/>
    <w:rsid w:val="00704170"/>
    <w:rsid w:val="007049B0"/>
    <w:rsid w:val="00704D35"/>
    <w:rsid w:val="00705A15"/>
    <w:rsid w:val="00706109"/>
    <w:rsid w:val="00706317"/>
    <w:rsid w:val="0070705F"/>
    <w:rsid w:val="007077BC"/>
    <w:rsid w:val="0071058B"/>
    <w:rsid w:val="00710881"/>
    <w:rsid w:val="00710CB1"/>
    <w:rsid w:val="00710EE8"/>
    <w:rsid w:val="00710F56"/>
    <w:rsid w:val="00711241"/>
    <w:rsid w:val="00711279"/>
    <w:rsid w:val="007115CE"/>
    <w:rsid w:val="00711BC3"/>
    <w:rsid w:val="00711D36"/>
    <w:rsid w:val="00711FE6"/>
    <w:rsid w:val="00712798"/>
    <w:rsid w:val="00712A6A"/>
    <w:rsid w:val="00712C1B"/>
    <w:rsid w:val="00712F35"/>
    <w:rsid w:val="007130E9"/>
    <w:rsid w:val="00713178"/>
    <w:rsid w:val="00713299"/>
    <w:rsid w:val="007133A6"/>
    <w:rsid w:val="00713E06"/>
    <w:rsid w:val="007142EF"/>
    <w:rsid w:val="00714963"/>
    <w:rsid w:val="007150F8"/>
    <w:rsid w:val="0071589A"/>
    <w:rsid w:val="007163B5"/>
    <w:rsid w:val="007165AA"/>
    <w:rsid w:val="00716C50"/>
    <w:rsid w:val="00717096"/>
    <w:rsid w:val="007170EE"/>
    <w:rsid w:val="00717149"/>
    <w:rsid w:val="007201A8"/>
    <w:rsid w:val="0072056F"/>
    <w:rsid w:val="00720763"/>
    <w:rsid w:val="00720D49"/>
    <w:rsid w:val="00720D90"/>
    <w:rsid w:val="00720FC3"/>
    <w:rsid w:val="007210F0"/>
    <w:rsid w:val="00721301"/>
    <w:rsid w:val="007214D0"/>
    <w:rsid w:val="00721DF3"/>
    <w:rsid w:val="00721F68"/>
    <w:rsid w:val="00722205"/>
    <w:rsid w:val="007226F9"/>
    <w:rsid w:val="007227F0"/>
    <w:rsid w:val="0072357F"/>
    <w:rsid w:val="007235A4"/>
    <w:rsid w:val="00723C27"/>
    <w:rsid w:val="0072450C"/>
    <w:rsid w:val="0072454E"/>
    <w:rsid w:val="00724947"/>
    <w:rsid w:val="0072496D"/>
    <w:rsid w:val="00725250"/>
    <w:rsid w:val="0072576D"/>
    <w:rsid w:val="007258B5"/>
    <w:rsid w:val="00726D4D"/>
    <w:rsid w:val="0072737B"/>
    <w:rsid w:val="007277ED"/>
    <w:rsid w:val="0072793F"/>
    <w:rsid w:val="00730111"/>
    <w:rsid w:val="00730938"/>
    <w:rsid w:val="007309AC"/>
    <w:rsid w:val="00730D8C"/>
    <w:rsid w:val="007311F8"/>
    <w:rsid w:val="00731211"/>
    <w:rsid w:val="007315CC"/>
    <w:rsid w:val="007316EA"/>
    <w:rsid w:val="00731CFC"/>
    <w:rsid w:val="00731ECE"/>
    <w:rsid w:val="007337D5"/>
    <w:rsid w:val="007344A6"/>
    <w:rsid w:val="007344D6"/>
    <w:rsid w:val="0073455C"/>
    <w:rsid w:val="00734913"/>
    <w:rsid w:val="00734D29"/>
    <w:rsid w:val="00734EEA"/>
    <w:rsid w:val="00734FC1"/>
    <w:rsid w:val="007357ED"/>
    <w:rsid w:val="00736331"/>
    <w:rsid w:val="0073662F"/>
    <w:rsid w:val="00736FA2"/>
    <w:rsid w:val="007370F4"/>
    <w:rsid w:val="007379BB"/>
    <w:rsid w:val="007379C9"/>
    <w:rsid w:val="00737B9A"/>
    <w:rsid w:val="00737BD0"/>
    <w:rsid w:val="00741080"/>
    <w:rsid w:val="007410A5"/>
    <w:rsid w:val="0074124C"/>
    <w:rsid w:val="00741467"/>
    <w:rsid w:val="007416F6"/>
    <w:rsid w:val="0074174E"/>
    <w:rsid w:val="00741C23"/>
    <w:rsid w:val="00742107"/>
    <w:rsid w:val="00742159"/>
    <w:rsid w:val="007423CE"/>
    <w:rsid w:val="00742417"/>
    <w:rsid w:val="00743F95"/>
    <w:rsid w:val="007447EE"/>
    <w:rsid w:val="00744C15"/>
    <w:rsid w:val="007459E1"/>
    <w:rsid w:val="00745E26"/>
    <w:rsid w:val="00745EA5"/>
    <w:rsid w:val="0074626E"/>
    <w:rsid w:val="00746837"/>
    <w:rsid w:val="00746BFE"/>
    <w:rsid w:val="00746CF8"/>
    <w:rsid w:val="0074712D"/>
    <w:rsid w:val="007472AD"/>
    <w:rsid w:val="00747D9D"/>
    <w:rsid w:val="0075002C"/>
    <w:rsid w:val="00750090"/>
    <w:rsid w:val="0075015F"/>
    <w:rsid w:val="0075076C"/>
    <w:rsid w:val="00750A01"/>
    <w:rsid w:val="00750AED"/>
    <w:rsid w:val="0075137A"/>
    <w:rsid w:val="0075179F"/>
    <w:rsid w:val="00751D54"/>
    <w:rsid w:val="00751E82"/>
    <w:rsid w:val="0075203B"/>
    <w:rsid w:val="00752956"/>
    <w:rsid w:val="00752DCC"/>
    <w:rsid w:val="00752FE2"/>
    <w:rsid w:val="00753253"/>
    <w:rsid w:val="00754475"/>
    <w:rsid w:val="007545A1"/>
    <w:rsid w:val="00754A3E"/>
    <w:rsid w:val="007557BC"/>
    <w:rsid w:val="00755BD8"/>
    <w:rsid w:val="00755F6A"/>
    <w:rsid w:val="0075605E"/>
    <w:rsid w:val="00756062"/>
    <w:rsid w:val="007563A9"/>
    <w:rsid w:val="00756458"/>
    <w:rsid w:val="00756A04"/>
    <w:rsid w:val="007572F3"/>
    <w:rsid w:val="00757ADA"/>
    <w:rsid w:val="00757E4F"/>
    <w:rsid w:val="00760E14"/>
    <w:rsid w:val="00761557"/>
    <w:rsid w:val="0076170A"/>
    <w:rsid w:val="00761C3D"/>
    <w:rsid w:val="007625FE"/>
    <w:rsid w:val="00762D95"/>
    <w:rsid w:val="007631B0"/>
    <w:rsid w:val="00763668"/>
    <w:rsid w:val="007638F1"/>
    <w:rsid w:val="00763EE6"/>
    <w:rsid w:val="00763F7D"/>
    <w:rsid w:val="00765144"/>
    <w:rsid w:val="00765253"/>
    <w:rsid w:val="00765AF9"/>
    <w:rsid w:val="00765EF9"/>
    <w:rsid w:val="0076636A"/>
    <w:rsid w:val="00766384"/>
    <w:rsid w:val="0076656E"/>
    <w:rsid w:val="00766CC5"/>
    <w:rsid w:val="00767323"/>
    <w:rsid w:val="00767778"/>
    <w:rsid w:val="007700FC"/>
    <w:rsid w:val="00770DFC"/>
    <w:rsid w:val="0077163B"/>
    <w:rsid w:val="00771648"/>
    <w:rsid w:val="00771902"/>
    <w:rsid w:val="0077205F"/>
    <w:rsid w:val="007722F0"/>
    <w:rsid w:val="0077257C"/>
    <w:rsid w:val="00773243"/>
    <w:rsid w:val="00773293"/>
    <w:rsid w:val="007736D1"/>
    <w:rsid w:val="007738FD"/>
    <w:rsid w:val="00773962"/>
    <w:rsid w:val="00773A18"/>
    <w:rsid w:val="007740FA"/>
    <w:rsid w:val="00774E9A"/>
    <w:rsid w:val="007755B2"/>
    <w:rsid w:val="00775880"/>
    <w:rsid w:val="007764B9"/>
    <w:rsid w:val="007776A3"/>
    <w:rsid w:val="0077779F"/>
    <w:rsid w:val="00777A2B"/>
    <w:rsid w:val="007801B1"/>
    <w:rsid w:val="007810CA"/>
    <w:rsid w:val="007818D4"/>
    <w:rsid w:val="00781A43"/>
    <w:rsid w:val="00781D32"/>
    <w:rsid w:val="00781D7D"/>
    <w:rsid w:val="007822E4"/>
    <w:rsid w:val="00783549"/>
    <w:rsid w:val="0078385F"/>
    <w:rsid w:val="00783BDA"/>
    <w:rsid w:val="00783C66"/>
    <w:rsid w:val="0078409D"/>
    <w:rsid w:val="0078452B"/>
    <w:rsid w:val="00784635"/>
    <w:rsid w:val="007855FC"/>
    <w:rsid w:val="00785F72"/>
    <w:rsid w:val="00786654"/>
    <w:rsid w:val="00786687"/>
    <w:rsid w:val="00786B08"/>
    <w:rsid w:val="00786C57"/>
    <w:rsid w:val="00786F29"/>
    <w:rsid w:val="00790030"/>
    <w:rsid w:val="00790688"/>
    <w:rsid w:val="00790770"/>
    <w:rsid w:val="00790DF1"/>
    <w:rsid w:val="0079174D"/>
    <w:rsid w:val="007918D8"/>
    <w:rsid w:val="00791BED"/>
    <w:rsid w:val="00792139"/>
    <w:rsid w:val="007923E1"/>
    <w:rsid w:val="007936D9"/>
    <w:rsid w:val="00793A6C"/>
    <w:rsid w:val="00793DC2"/>
    <w:rsid w:val="00793EBB"/>
    <w:rsid w:val="007944AB"/>
    <w:rsid w:val="0079457E"/>
    <w:rsid w:val="007947E4"/>
    <w:rsid w:val="007948AF"/>
    <w:rsid w:val="00794A11"/>
    <w:rsid w:val="00794B55"/>
    <w:rsid w:val="00794F85"/>
    <w:rsid w:val="0079552B"/>
    <w:rsid w:val="00795A02"/>
    <w:rsid w:val="00795F95"/>
    <w:rsid w:val="0079689F"/>
    <w:rsid w:val="00796BB3"/>
    <w:rsid w:val="00797C15"/>
    <w:rsid w:val="007A01F7"/>
    <w:rsid w:val="007A0272"/>
    <w:rsid w:val="007A0B6E"/>
    <w:rsid w:val="007A1953"/>
    <w:rsid w:val="007A1D1D"/>
    <w:rsid w:val="007A1DD9"/>
    <w:rsid w:val="007A1E03"/>
    <w:rsid w:val="007A2063"/>
    <w:rsid w:val="007A30C6"/>
    <w:rsid w:val="007A35C4"/>
    <w:rsid w:val="007A3711"/>
    <w:rsid w:val="007A38BD"/>
    <w:rsid w:val="007A39F9"/>
    <w:rsid w:val="007A3C96"/>
    <w:rsid w:val="007A3D30"/>
    <w:rsid w:val="007A3D82"/>
    <w:rsid w:val="007A3E1B"/>
    <w:rsid w:val="007A3E84"/>
    <w:rsid w:val="007A4274"/>
    <w:rsid w:val="007A4796"/>
    <w:rsid w:val="007A49F0"/>
    <w:rsid w:val="007A4BF7"/>
    <w:rsid w:val="007A5A21"/>
    <w:rsid w:val="007A6104"/>
    <w:rsid w:val="007A7865"/>
    <w:rsid w:val="007A7CA4"/>
    <w:rsid w:val="007A7DD5"/>
    <w:rsid w:val="007B020F"/>
    <w:rsid w:val="007B0387"/>
    <w:rsid w:val="007B040B"/>
    <w:rsid w:val="007B0B6C"/>
    <w:rsid w:val="007B2BBD"/>
    <w:rsid w:val="007B3398"/>
    <w:rsid w:val="007B40A3"/>
    <w:rsid w:val="007B4CC3"/>
    <w:rsid w:val="007B4E2B"/>
    <w:rsid w:val="007B559E"/>
    <w:rsid w:val="007B59E0"/>
    <w:rsid w:val="007B670F"/>
    <w:rsid w:val="007B6C67"/>
    <w:rsid w:val="007B7480"/>
    <w:rsid w:val="007B780B"/>
    <w:rsid w:val="007B78E8"/>
    <w:rsid w:val="007C0910"/>
    <w:rsid w:val="007C0B43"/>
    <w:rsid w:val="007C0BEB"/>
    <w:rsid w:val="007C0F54"/>
    <w:rsid w:val="007C1DF4"/>
    <w:rsid w:val="007C1E03"/>
    <w:rsid w:val="007C201A"/>
    <w:rsid w:val="007C2E8E"/>
    <w:rsid w:val="007C3611"/>
    <w:rsid w:val="007C38D1"/>
    <w:rsid w:val="007C3A3A"/>
    <w:rsid w:val="007C3AC7"/>
    <w:rsid w:val="007C3AE0"/>
    <w:rsid w:val="007C3BCC"/>
    <w:rsid w:val="007C4332"/>
    <w:rsid w:val="007C4A3E"/>
    <w:rsid w:val="007C505C"/>
    <w:rsid w:val="007C5BDD"/>
    <w:rsid w:val="007C6DE9"/>
    <w:rsid w:val="007C6E4F"/>
    <w:rsid w:val="007C72E0"/>
    <w:rsid w:val="007C7C9F"/>
    <w:rsid w:val="007D282B"/>
    <w:rsid w:val="007D2872"/>
    <w:rsid w:val="007D3070"/>
    <w:rsid w:val="007D3164"/>
    <w:rsid w:val="007D3C19"/>
    <w:rsid w:val="007D3FF0"/>
    <w:rsid w:val="007D430B"/>
    <w:rsid w:val="007D4796"/>
    <w:rsid w:val="007D4892"/>
    <w:rsid w:val="007D4A48"/>
    <w:rsid w:val="007D4C97"/>
    <w:rsid w:val="007D5528"/>
    <w:rsid w:val="007D5588"/>
    <w:rsid w:val="007D61B7"/>
    <w:rsid w:val="007D76B3"/>
    <w:rsid w:val="007D7A5E"/>
    <w:rsid w:val="007E0788"/>
    <w:rsid w:val="007E084F"/>
    <w:rsid w:val="007E1269"/>
    <w:rsid w:val="007E14E7"/>
    <w:rsid w:val="007E1E9F"/>
    <w:rsid w:val="007E26C5"/>
    <w:rsid w:val="007E2B92"/>
    <w:rsid w:val="007E325A"/>
    <w:rsid w:val="007E335D"/>
    <w:rsid w:val="007E33A9"/>
    <w:rsid w:val="007E34DF"/>
    <w:rsid w:val="007E3D5D"/>
    <w:rsid w:val="007E403E"/>
    <w:rsid w:val="007E4E97"/>
    <w:rsid w:val="007E5200"/>
    <w:rsid w:val="007E5358"/>
    <w:rsid w:val="007E5373"/>
    <w:rsid w:val="007E5634"/>
    <w:rsid w:val="007E65CD"/>
    <w:rsid w:val="007E6A40"/>
    <w:rsid w:val="007E769B"/>
    <w:rsid w:val="007E7912"/>
    <w:rsid w:val="007F0123"/>
    <w:rsid w:val="007F0A83"/>
    <w:rsid w:val="007F0BA3"/>
    <w:rsid w:val="007F102F"/>
    <w:rsid w:val="007F1AA3"/>
    <w:rsid w:val="007F1C03"/>
    <w:rsid w:val="007F1F39"/>
    <w:rsid w:val="007F25F4"/>
    <w:rsid w:val="007F2620"/>
    <w:rsid w:val="007F3B01"/>
    <w:rsid w:val="007F3D7A"/>
    <w:rsid w:val="007F43C2"/>
    <w:rsid w:val="007F4448"/>
    <w:rsid w:val="007F4A96"/>
    <w:rsid w:val="007F4F9F"/>
    <w:rsid w:val="007F509A"/>
    <w:rsid w:val="007F53CF"/>
    <w:rsid w:val="007F5866"/>
    <w:rsid w:val="007F5CFD"/>
    <w:rsid w:val="007F65F1"/>
    <w:rsid w:val="007F6C5D"/>
    <w:rsid w:val="007F7FA3"/>
    <w:rsid w:val="00801137"/>
    <w:rsid w:val="008011B9"/>
    <w:rsid w:val="00801B16"/>
    <w:rsid w:val="00802476"/>
    <w:rsid w:val="00802A83"/>
    <w:rsid w:val="00803271"/>
    <w:rsid w:val="008033DF"/>
    <w:rsid w:val="00803421"/>
    <w:rsid w:val="00803D28"/>
    <w:rsid w:val="008040FC"/>
    <w:rsid w:val="0080465E"/>
    <w:rsid w:val="008047FF"/>
    <w:rsid w:val="00804CE7"/>
    <w:rsid w:val="00804D5C"/>
    <w:rsid w:val="00804E0D"/>
    <w:rsid w:val="00805537"/>
    <w:rsid w:val="00805820"/>
    <w:rsid w:val="00806181"/>
    <w:rsid w:val="008065C7"/>
    <w:rsid w:val="00806C14"/>
    <w:rsid w:val="008075EC"/>
    <w:rsid w:val="00807B81"/>
    <w:rsid w:val="008100FA"/>
    <w:rsid w:val="00810611"/>
    <w:rsid w:val="00810863"/>
    <w:rsid w:val="00810917"/>
    <w:rsid w:val="0081107D"/>
    <w:rsid w:val="0081150C"/>
    <w:rsid w:val="00811EAB"/>
    <w:rsid w:val="008124BC"/>
    <w:rsid w:val="00812776"/>
    <w:rsid w:val="00812D0F"/>
    <w:rsid w:val="00813028"/>
    <w:rsid w:val="00813042"/>
    <w:rsid w:val="00813C72"/>
    <w:rsid w:val="00813D01"/>
    <w:rsid w:val="008141FF"/>
    <w:rsid w:val="008142D7"/>
    <w:rsid w:val="00814CA7"/>
    <w:rsid w:val="00814E30"/>
    <w:rsid w:val="00814F1C"/>
    <w:rsid w:val="008150E8"/>
    <w:rsid w:val="008158CD"/>
    <w:rsid w:val="00815995"/>
    <w:rsid w:val="00815C01"/>
    <w:rsid w:val="00815F4D"/>
    <w:rsid w:val="00816460"/>
    <w:rsid w:val="00816AF7"/>
    <w:rsid w:val="008172EF"/>
    <w:rsid w:val="0081783A"/>
    <w:rsid w:val="00817A4E"/>
    <w:rsid w:val="00817D33"/>
    <w:rsid w:val="008202C8"/>
    <w:rsid w:val="008203C1"/>
    <w:rsid w:val="00820657"/>
    <w:rsid w:val="00820723"/>
    <w:rsid w:val="008210B9"/>
    <w:rsid w:val="00821365"/>
    <w:rsid w:val="00821B16"/>
    <w:rsid w:val="00821B30"/>
    <w:rsid w:val="00822E9C"/>
    <w:rsid w:val="00823108"/>
    <w:rsid w:val="008231FF"/>
    <w:rsid w:val="00823AA6"/>
    <w:rsid w:val="00823AF4"/>
    <w:rsid w:val="00823B72"/>
    <w:rsid w:val="00823BCE"/>
    <w:rsid w:val="00823BFF"/>
    <w:rsid w:val="00823C97"/>
    <w:rsid w:val="00823CEF"/>
    <w:rsid w:val="00824087"/>
    <w:rsid w:val="00824316"/>
    <w:rsid w:val="008244BC"/>
    <w:rsid w:val="0082484C"/>
    <w:rsid w:val="008251C1"/>
    <w:rsid w:val="00826785"/>
    <w:rsid w:val="008300E3"/>
    <w:rsid w:val="00830260"/>
    <w:rsid w:val="0083134B"/>
    <w:rsid w:val="00831450"/>
    <w:rsid w:val="00832336"/>
    <w:rsid w:val="00832363"/>
    <w:rsid w:val="00832C40"/>
    <w:rsid w:val="00832EE9"/>
    <w:rsid w:val="00833955"/>
    <w:rsid w:val="00834000"/>
    <w:rsid w:val="008349C4"/>
    <w:rsid w:val="008357C5"/>
    <w:rsid w:val="00835EA1"/>
    <w:rsid w:val="008368B5"/>
    <w:rsid w:val="0083720D"/>
    <w:rsid w:val="008372FC"/>
    <w:rsid w:val="00840EA5"/>
    <w:rsid w:val="00842767"/>
    <w:rsid w:val="00842776"/>
    <w:rsid w:val="00842DF5"/>
    <w:rsid w:val="00843151"/>
    <w:rsid w:val="0084351D"/>
    <w:rsid w:val="00843825"/>
    <w:rsid w:val="008440B1"/>
    <w:rsid w:val="008440F8"/>
    <w:rsid w:val="00844A62"/>
    <w:rsid w:val="00844A6B"/>
    <w:rsid w:val="00844D62"/>
    <w:rsid w:val="0084564D"/>
    <w:rsid w:val="00845BA0"/>
    <w:rsid w:val="00846907"/>
    <w:rsid w:val="00846C36"/>
    <w:rsid w:val="00846E76"/>
    <w:rsid w:val="00846EB8"/>
    <w:rsid w:val="00846EE0"/>
    <w:rsid w:val="00846FCC"/>
    <w:rsid w:val="008470DE"/>
    <w:rsid w:val="00847695"/>
    <w:rsid w:val="00847930"/>
    <w:rsid w:val="00847945"/>
    <w:rsid w:val="00847E19"/>
    <w:rsid w:val="00847EDB"/>
    <w:rsid w:val="008500B4"/>
    <w:rsid w:val="0085027E"/>
    <w:rsid w:val="008507A2"/>
    <w:rsid w:val="00850DFC"/>
    <w:rsid w:val="00850F5B"/>
    <w:rsid w:val="00850FB9"/>
    <w:rsid w:val="00851611"/>
    <w:rsid w:val="00851C7B"/>
    <w:rsid w:val="00851DD5"/>
    <w:rsid w:val="0085220F"/>
    <w:rsid w:val="00852644"/>
    <w:rsid w:val="008528F2"/>
    <w:rsid w:val="00852DF9"/>
    <w:rsid w:val="008530B6"/>
    <w:rsid w:val="0085390D"/>
    <w:rsid w:val="00853C06"/>
    <w:rsid w:val="008542AB"/>
    <w:rsid w:val="0085442F"/>
    <w:rsid w:val="008548A5"/>
    <w:rsid w:val="00854A78"/>
    <w:rsid w:val="00855382"/>
    <w:rsid w:val="00855431"/>
    <w:rsid w:val="008565C5"/>
    <w:rsid w:val="00856A32"/>
    <w:rsid w:val="00856FB2"/>
    <w:rsid w:val="00857236"/>
    <w:rsid w:val="008604B4"/>
    <w:rsid w:val="0086108E"/>
    <w:rsid w:val="008610BA"/>
    <w:rsid w:val="008613DE"/>
    <w:rsid w:val="008613F8"/>
    <w:rsid w:val="00861509"/>
    <w:rsid w:val="00861652"/>
    <w:rsid w:val="00861781"/>
    <w:rsid w:val="00861DEE"/>
    <w:rsid w:val="00862200"/>
    <w:rsid w:val="00862A1A"/>
    <w:rsid w:val="00863781"/>
    <w:rsid w:val="00863AB9"/>
    <w:rsid w:val="00863D7C"/>
    <w:rsid w:val="00863D8A"/>
    <w:rsid w:val="0086424B"/>
    <w:rsid w:val="00864598"/>
    <w:rsid w:val="0086477E"/>
    <w:rsid w:val="00864A8E"/>
    <w:rsid w:val="008651C8"/>
    <w:rsid w:val="00865217"/>
    <w:rsid w:val="0086645C"/>
    <w:rsid w:val="00866D59"/>
    <w:rsid w:val="008671D3"/>
    <w:rsid w:val="0086799F"/>
    <w:rsid w:val="008700AB"/>
    <w:rsid w:val="00870444"/>
    <w:rsid w:val="008707B5"/>
    <w:rsid w:val="00870D5A"/>
    <w:rsid w:val="00871428"/>
    <w:rsid w:val="008718C8"/>
    <w:rsid w:val="00871F70"/>
    <w:rsid w:val="0087202A"/>
    <w:rsid w:val="008721E8"/>
    <w:rsid w:val="00872C24"/>
    <w:rsid w:val="00872FDA"/>
    <w:rsid w:val="00873737"/>
    <w:rsid w:val="00873DD9"/>
    <w:rsid w:val="00874001"/>
    <w:rsid w:val="008747FC"/>
    <w:rsid w:val="00874935"/>
    <w:rsid w:val="00874CB2"/>
    <w:rsid w:val="0087542A"/>
    <w:rsid w:val="00875503"/>
    <w:rsid w:val="00875D18"/>
    <w:rsid w:val="00875E16"/>
    <w:rsid w:val="00876B65"/>
    <w:rsid w:val="00876D06"/>
    <w:rsid w:val="00876DFA"/>
    <w:rsid w:val="00876E42"/>
    <w:rsid w:val="008776A0"/>
    <w:rsid w:val="00877B9B"/>
    <w:rsid w:val="00877F8A"/>
    <w:rsid w:val="0088021B"/>
    <w:rsid w:val="00880371"/>
    <w:rsid w:val="00880961"/>
    <w:rsid w:val="00881522"/>
    <w:rsid w:val="00881F84"/>
    <w:rsid w:val="00882356"/>
    <w:rsid w:val="00882493"/>
    <w:rsid w:val="00882F41"/>
    <w:rsid w:val="008835D2"/>
    <w:rsid w:val="008837DC"/>
    <w:rsid w:val="00883BFB"/>
    <w:rsid w:val="00883E4E"/>
    <w:rsid w:val="00884B37"/>
    <w:rsid w:val="00884BF0"/>
    <w:rsid w:val="00885AEA"/>
    <w:rsid w:val="00885E09"/>
    <w:rsid w:val="00886070"/>
    <w:rsid w:val="0088679C"/>
    <w:rsid w:val="00886907"/>
    <w:rsid w:val="00886B31"/>
    <w:rsid w:val="00886FD4"/>
    <w:rsid w:val="00887838"/>
    <w:rsid w:val="00890A04"/>
    <w:rsid w:val="00890AE7"/>
    <w:rsid w:val="00890EDD"/>
    <w:rsid w:val="00891331"/>
    <w:rsid w:val="008913D9"/>
    <w:rsid w:val="00891E12"/>
    <w:rsid w:val="0089205C"/>
    <w:rsid w:val="00892B1E"/>
    <w:rsid w:val="00892D1F"/>
    <w:rsid w:val="00892FB3"/>
    <w:rsid w:val="0089351C"/>
    <w:rsid w:val="0089391A"/>
    <w:rsid w:val="00894073"/>
    <w:rsid w:val="008943AC"/>
    <w:rsid w:val="008945E6"/>
    <w:rsid w:val="00894A25"/>
    <w:rsid w:val="00894A8E"/>
    <w:rsid w:val="00894AE1"/>
    <w:rsid w:val="00895003"/>
    <w:rsid w:val="0089570B"/>
    <w:rsid w:val="00895F6A"/>
    <w:rsid w:val="00896823"/>
    <w:rsid w:val="00896B93"/>
    <w:rsid w:val="00896DD5"/>
    <w:rsid w:val="00896EE7"/>
    <w:rsid w:val="008A0027"/>
    <w:rsid w:val="008A0203"/>
    <w:rsid w:val="008A0919"/>
    <w:rsid w:val="008A0CCC"/>
    <w:rsid w:val="008A133C"/>
    <w:rsid w:val="008A1405"/>
    <w:rsid w:val="008A1C6E"/>
    <w:rsid w:val="008A1CBD"/>
    <w:rsid w:val="008A2576"/>
    <w:rsid w:val="008A27AF"/>
    <w:rsid w:val="008A2B3D"/>
    <w:rsid w:val="008A306B"/>
    <w:rsid w:val="008A3561"/>
    <w:rsid w:val="008A35DF"/>
    <w:rsid w:val="008A38CB"/>
    <w:rsid w:val="008A3A34"/>
    <w:rsid w:val="008A3CD5"/>
    <w:rsid w:val="008A4349"/>
    <w:rsid w:val="008A4352"/>
    <w:rsid w:val="008A5163"/>
    <w:rsid w:val="008A570B"/>
    <w:rsid w:val="008A60FC"/>
    <w:rsid w:val="008A6156"/>
    <w:rsid w:val="008A6AE1"/>
    <w:rsid w:val="008A791F"/>
    <w:rsid w:val="008A7BB5"/>
    <w:rsid w:val="008B0691"/>
    <w:rsid w:val="008B0DC3"/>
    <w:rsid w:val="008B13F6"/>
    <w:rsid w:val="008B18C8"/>
    <w:rsid w:val="008B1C8B"/>
    <w:rsid w:val="008B1E05"/>
    <w:rsid w:val="008B2A7C"/>
    <w:rsid w:val="008B3770"/>
    <w:rsid w:val="008B3B57"/>
    <w:rsid w:val="008B3C7F"/>
    <w:rsid w:val="008B3D8D"/>
    <w:rsid w:val="008B3F6D"/>
    <w:rsid w:val="008B3FBC"/>
    <w:rsid w:val="008B4440"/>
    <w:rsid w:val="008B47C9"/>
    <w:rsid w:val="008B4EAE"/>
    <w:rsid w:val="008B4F98"/>
    <w:rsid w:val="008B53E3"/>
    <w:rsid w:val="008B55B8"/>
    <w:rsid w:val="008B5908"/>
    <w:rsid w:val="008B5AED"/>
    <w:rsid w:val="008B5C1F"/>
    <w:rsid w:val="008B5C56"/>
    <w:rsid w:val="008B6310"/>
    <w:rsid w:val="008B65B4"/>
    <w:rsid w:val="008B6944"/>
    <w:rsid w:val="008B69A2"/>
    <w:rsid w:val="008B73DC"/>
    <w:rsid w:val="008B7606"/>
    <w:rsid w:val="008B7A6A"/>
    <w:rsid w:val="008B7BF8"/>
    <w:rsid w:val="008C06F3"/>
    <w:rsid w:val="008C092D"/>
    <w:rsid w:val="008C0A1C"/>
    <w:rsid w:val="008C0A5F"/>
    <w:rsid w:val="008C0D5E"/>
    <w:rsid w:val="008C134E"/>
    <w:rsid w:val="008C15D0"/>
    <w:rsid w:val="008C18DC"/>
    <w:rsid w:val="008C1A86"/>
    <w:rsid w:val="008C1AA1"/>
    <w:rsid w:val="008C2005"/>
    <w:rsid w:val="008C2262"/>
    <w:rsid w:val="008C27B2"/>
    <w:rsid w:val="008C299E"/>
    <w:rsid w:val="008C2B68"/>
    <w:rsid w:val="008C3977"/>
    <w:rsid w:val="008C43C9"/>
    <w:rsid w:val="008C4ADA"/>
    <w:rsid w:val="008C4FF8"/>
    <w:rsid w:val="008C5521"/>
    <w:rsid w:val="008C58E3"/>
    <w:rsid w:val="008C60A2"/>
    <w:rsid w:val="008C7B7A"/>
    <w:rsid w:val="008C7B93"/>
    <w:rsid w:val="008D00FF"/>
    <w:rsid w:val="008D0252"/>
    <w:rsid w:val="008D0255"/>
    <w:rsid w:val="008D0A81"/>
    <w:rsid w:val="008D0B32"/>
    <w:rsid w:val="008D1335"/>
    <w:rsid w:val="008D2F49"/>
    <w:rsid w:val="008D30F3"/>
    <w:rsid w:val="008D38A5"/>
    <w:rsid w:val="008D3A89"/>
    <w:rsid w:val="008D4110"/>
    <w:rsid w:val="008D41C3"/>
    <w:rsid w:val="008D4BEA"/>
    <w:rsid w:val="008D596F"/>
    <w:rsid w:val="008D6204"/>
    <w:rsid w:val="008D635C"/>
    <w:rsid w:val="008D6B15"/>
    <w:rsid w:val="008D7282"/>
    <w:rsid w:val="008D7465"/>
    <w:rsid w:val="008D7D43"/>
    <w:rsid w:val="008D7DD5"/>
    <w:rsid w:val="008D7E92"/>
    <w:rsid w:val="008E0A81"/>
    <w:rsid w:val="008E0E29"/>
    <w:rsid w:val="008E1103"/>
    <w:rsid w:val="008E1AC5"/>
    <w:rsid w:val="008E1CC1"/>
    <w:rsid w:val="008E3343"/>
    <w:rsid w:val="008E35D7"/>
    <w:rsid w:val="008E3851"/>
    <w:rsid w:val="008E3DA6"/>
    <w:rsid w:val="008E3FB2"/>
    <w:rsid w:val="008E4759"/>
    <w:rsid w:val="008E4D7A"/>
    <w:rsid w:val="008E5128"/>
    <w:rsid w:val="008E53D9"/>
    <w:rsid w:val="008E599B"/>
    <w:rsid w:val="008E5A69"/>
    <w:rsid w:val="008E6600"/>
    <w:rsid w:val="008E72B8"/>
    <w:rsid w:val="008E74BD"/>
    <w:rsid w:val="008E79F7"/>
    <w:rsid w:val="008E7A7D"/>
    <w:rsid w:val="008E7BFB"/>
    <w:rsid w:val="008F063B"/>
    <w:rsid w:val="008F07B3"/>
    <w:rsid w:val="008F218C"/>
    <w:rsid w:val="008F27F6"/>
    <w:rsid w:val="008F2FC2"/>
    <w:rsid w:val="008F3673"/>
    <w:rsid w:val="008F3C09"/>
    <w:rsid w:val="008F3CBE"/>
    <w:rsid w:val="008F544B"/>
    <w:rsid w:val="008F6836"/>
    <w:rsid w:val="008F6D2D"/>
    <w:rsid w:val="008F725C"/>
    <w:rsid w:val="008F76DE"/>
    <w:rsid w:val="008F7D6D"/>
    <w:rsid w:val="008F7E40"/>
    <w:rsid w:val="008F7F45"/>
    <w:rsid w:val="00900315"/>
    <w:rsid w:val="009004AA"/>
    <w:rsid w:val="0090068A"/>
    <w:rsid w:val="00901750"/>
    <w:rsid w:val="009021C8"/>
    <w:rsid w:val="0090251B"/>
    <w:rsid w:val="009029FB"/>
    <w:rsid w:val="00903310"/>
    <w:rsid w:val="009033AB"/>
    <w:rsid w:val="0090349F"/>
    <w:rsid w:val="00903A22"/>
    <w:rsid w:val="00903D92"/>
    <w:rsid w:val="00904FF5"/>
    <w:rsid w:val="009051C0"/>
    <w:rsid w:val="009058C4"/>
    <w:rsid w:val="00905E87"/>
    <w:rsid w:val="009063FF"/>
    <w:rsid w:val="0090686D"/>
    <w:rsid w:val="00906ABF"/>
    <w:rsid w:val="00906B5B"/>
    <w:rsid w:val="00906BAB"/>
    <w:rsid w:val="00910102"/>
    <w:rsid w:val="009102C5"/>
    <w:rsid w:val="0091047F"/>
    <w:rsid w:val="0091087E"/>
    <w:rsid w:val="00910C00"/>
    <w:rsid w:val="00912DF9"/>
    <w:rsid w:val="0091302E"/>
    <w:rsid w:val="009130B7"/>
    <w:rsid w:val="0091326E"/>
    <w:rsid w:val="0091335E"/>
    <w:rsid w:val="009136C4"/>
    <w:rsid w:val="00913D93"/>
    <w:rsid w:val="00914CC4"/>
    <w:rsid w:val="009153DB"/>
    <w:rsid w:val="00915D42"/>
    <w:rsid w:val="0091624E"/>
    <w:rsid w:val="009165B6"/>
    <w:rsid w:val="0091678A"/>
    <w:rsid w:val="0091718E"/>
    <w:rsid w:val="00917757"/>
    <w:rsid w:val="00917AAA"/>
    <w:rsid w:val="00917DD5"/>
    <w:rsid w:val="00920126"/>
    <w:rsid w:val="009204E4"/>
    <w:rsid w:val="009206FF"/>
    <w:rsid w:val="00920BF6"/>
    <w:rsid w:val="00920F9F"/>
    <w:rsid w:val="009218FB"/>
    <w:rsid w:val="009236CB"/>
    <w:rsid w:val="00923A33"/>
    <w:rsid w:val="00923DC2"/>
    <w:rsid w:val="00924ABB"/>
    <w:rsid w:val="00924CB5"/>
    <w:rsid w:val="00925000"/>
    <w:rsid w:val="009252B6"/>
    <w:rsid w:val="0092549B"/>
    <w:rsid w:val="00925E76"/>
    <w:rsid w:val="00926250"/>
    <w:rsid w:val="0092639F"/>
    <w:rsid w:val="0092647D"/>
    <w:rsid w:val="009264F7"/>
    <w:rsid w:val="00926B11"/>
    <w:rsid w:val="00927AE6"/>
    <w:rsid w:val="0093010D"/>
    <w:rsid w:val="0093033D"/>
    <w:rsid w:val="009303FE"/>
    <w:rsid w:val="00930DD2"/>
    <w:rsid w:val="0093105A"/>
    <w:rsid w:val="0093326F"/>
    <w:rsid w:val="00933FA2"/>
    <w:rsid w:val="009342FD"/>
    <w:rsid w:val="009344AC"/>
    <w:rsid w:val="009344C2"/>
    <w:rsid w:val="00934585"/>
    <w:rsid w:val="00934768"/>
    <w:rsid w:val="00934AB1"/>
    <w:rsid w:val="00935187"/>
    <w:rsid w:val="0093526B"/>
    <w:rsid w:val="009355AE"/>
    <w:rsid w:val="00935715"/>
    <w:rsid w:val="0093597B"/>
    <w:rsid w:val="00935A6B"/>
    <w:rsid w:val="00935B0C"/>
    <w:rsid w:val="00936284"/>
    <w:rsid w:val="00936763"/>
    <w:rsid w:val="00937050"/>
    <w:rsid w:val="0093725D"/>
    <w:rsid w:val="00937620"/>
    <w:rsid w:val="00937D3A"/>
    <w:rsid w:val="00937D67"/>
    <w:rsid w:val="00937DC9"/>
    <w:rsid w:val="009408BE"/>
    <w:rsid w:val="0094114F"/>
    <w:rsid w:val="009415AE"/>
    <w:rsid w:val="0094229A"/>
    <w:rsid w:val="009427B9"/>
    <w:rsid w:val="009433DA"/>
    <w:rsid w:val="00943A65"/>
    <w:rsid w:val="00943A9F"/>
    <w:rsid w:val="0094452C"/>
    <w:rsid w:val="009445A6"/>
    <w:rsid w:val="00944AE5"/>
    <w:rsid w:val="00945982"/>
    <w:rsid w:val="00945F02"/>
    <w:rsid w:val="00946384"/>
    <w:rsid w:val="0094667F"/>
    <w:rsid w:val="0094693C"/>
    <w:rsid w:val="0094712E"/>
    <w:rsid w:val="00947298"/>
    <w:rsid w:val="009475CA"/>
    <w:rsid w:val="00947E60"/>
    <w:rsid w:val="009502EF"/>
    <w:rsid w:val="00950332"/>
    <w:rsid w:val="0095047A"/>
    <w:rsid w:val="0095055D"/>
    <w:rsid w:val="00950CFC"/>
    <w:rsid w:val="00951005"/>
    <w:rsid w:val="0095157A"/>
    <w:rsid w:val="00952129"/>
    <w:rsid w:val="00952688"/>
    <w:rsid w:val="00952D97"/>
    <w:rsid w:val="00952E6F"/>
    <w:rsid w:val="0095328A"/>
    <w:rsid w:val="0095335E"/>
    <w:rsid w:val="00953FDB"/>
    <w:rsid w:val="009549DA"/>
    <w:rsid w:val="00954C01"/>
    <w:rsid w:val="009552E6"/>
    <w:rsid w:val="009555B2"/>
    <w:rsid w:val="00955842"/>
    <w:rsid w:val="00955C2C"/>
    <w:rsid w:val="00955CD1"/>
    <w:rsid w:val="00957037"/>
    <w:rsid w:val="00957293"/>
    <w:rsid w:val="00957ABC"/>
    <w:rsid w:val="00960096"/>
    <w:rsid w:val="0096046B"/>
    <w:rsid w:val="009606F7"/>
    <w:rsid w:val="00961EA4"/>
    <w:rsid w:val="00961F44"/>
    <w:rsid w:val="00963049"/>
    <w:rsid w:val="00963393"/>
    <w:rsid w:val="00963E66"/>
    <w:rsid w:val="009656C0"/>
    <w:rsid w:val="00967619"/>
    <w:rsid w:val="00967BC4"/>
    <w:rsid w:val="009702D1"/>
    <w:rsid w:val="0097052A"/>
    <w:rsid w:val="00970674"/>
    <w:rsid w:val="00970904"/>
    <w:rsid w:val="00970B4B"/>
    <w:rsid w:val="00970FB5"/>
    <w:rsid w:val="0097114F"/>
    <w:rsid w:val="00971250"/>
    <w:rsid w:val="0097125D"/>
    <w:rsid w:val="00971323"/>
    <w:rsid w:val="00971347"/>
    <w:rsid w:val="009716C1"/>
    <w:rsid w:val="009718D0"/>
    <w:rsid w:val="00971F44"/>
    <w:rsid w:val="009720C9"/>
    <w:rsid w:val="009720E1"/>
    <w:rsid w:val="0097252A"/>
    <w:rsid w:val="0097261C"/>
    <w:rsid w:val="00972C41"/>
    <w:rsid w:val="00972FCF"/>
    <w:rsid w:val="00973620"/>
    <w:rsid w:val="0097373F"/>
    <w:rsid w:val="0097392F"/>
    <w:rsid w:val="00974818"/>
    <w:rsid w:val="00974E01"/>
    <w:rsid w:val="00975062"/>
    <w:rsid w:val="0097516A"/>
    <w:rsid w:val="009751A0"/>
    <w:rsid w:val="00975322"/>
    <w:rsid w:val="00975354"/>
    <w:rsid w:val="009757E9"/>
    <w:rsid w:val="00975ABB"/>
    <w:rsid w:val="00975B66"/>
    <w:rsid w:val="0097659F"/>
    <w:rsid w:val="00976725"/>
    <w:rsid w:val="00976E76"/>
    <w:rsid w:val="009773C7"/>
    <w:rsid w:val="009777ED"/>
    <w:rsid w:val="00977ECC"/>
    <w:rsid w:val="00980401"/>
    <w:rsid w:val="0098050C"/>
    <w:rsid w:val="00981AC0"/>
    <w:rsid w:val="00981E1C"/>
    <w:rsid w:val="00982214"/>
    <w:rsid w:val="00982738"/>
    <w:rsid w:val="00982ADB"/>
    <w:rsid w:val="00983905"/>
    <w:rsid w:val="009850D5"/>
    <w:rsid w:val="00985794"/>
    <w:rsid w:val="00985E27"/>
    <w:rsid w:val="00986295"/>
    <w:rsid w:val="0098638D"/>
    <w:rsid w:val="0098692E"/>
    <w:rsid w:val="00987195"/>
    <w:rsid w:val="0098722D"/>
    <w:rsid w:val="00987A22"/>
    <w:rsid w:val="00987B97"/>
    <w:rsid w:val="00987C85"/>
    <w:rsid w:val="00987E00"/>
    <w:rsid w:val="009902CD"/>
    <w:rsid w:val="00990B98"/>
    <w:rsid w:val="00990E06"/>
    <w:rsid w:val="009916C4"/>
    <w:rsid w:val="0099231B"/>
    <w:rsid w:val="009923A8"/>
    <w:rsid w:val="00992571"/>
    <w:rsid w:val="00992834"/>
    <w:rsid w:val="00992B66"/>
    <w:rsid w:val="00993B66"/>
    <w:rsid w:val="00995094"/>
    <w:rsid w:val="0099515B"/>
    <w:rsid w:val="0099544C"/>
    <w:rsid w:val="00995DF5"/>
    <w:rsid w:val="00995DF7"/>
    <w:rsid w:val="00996CC7"/>
    <w:rsid w:val="00996D27"/>
    <w:rsid w:val="00996EAB"/>
    <w:rsid w:val="00997166"/>
    <w:rsid w:val="0099790F"/>
    <w:rsid w:val="00997C60"/>
    <w:rsid w:val="009A02E5"/>
    <w:rsid w:val="009A197E"/>
    <w:rsid w:val="009A20B5"/>
    <w:rsid w:val="009A2AFF"/>
    <w:rsid w:val="009A2F6B"/>
    <w:rsid w:val="009A32FD"/>
    <w:rsid w:val="009A35AF"/>
    <w:rsid w:val="009A39A8"/>
    <w:rsid w:val="009A39C8"/>
    <w:rsid w:val="009A403A"/>
    <w:rsid w:val="009A4619"/>
    <w:rsid w:val="009A49DA"/>
    <w:rsid w:val="009A4CD2"/>
    <w:rsid w:val="009A5244"/>
    <w:rsid w:val="009A53E8"/>
    <w:rsid w:val="009A54ED"/>
    <w:rsid w:val="009A5E26"/>
    <w:rsid w:val="009A6F3F"/>
    <w:rsid w:val="009A7051"/>
    <w:rsid w:val="009A73E1"/>
    <w:rsid w:val="009A778D"/>
    <w:rsid w:val="009A7B74"/>
    <w:rsid w:val="009A7E84"/>
    <w:rsid w:val="009B0059"/>
    <w:rsid w:val="009B0E62"/>
    <w:rsid w:val="009B1052"/>
    <w:rsid w:val="009B108E"/>
    <w:rsid w:val="009B11DD"/>
    <w:rsid w:val="009B1B2D"/>
    <w:rsid w:val="009B1E62"/>
    <w:rsid w:val="009B1EC3"/>
    <w:rsid w:val="009B2456"/>
    <w:rsid w:val="009B2F9C"/>
    <w:rsid w:val="009B371B"/>
    <w:rsid w:val="009B3B23"/>
    <w:rsid w:val="009B3D50"/>
    <w:rsid w:val="009B3EA5"/>
    <w:rsid w:val="009B46C5"/>
    <w:rsid w:val="009B4BD5"/>
    <w:rsid w:val="009B4D95"/>
    <w:rsid w:val="009B54E1"/>
    <w:rsid w:val="009B5D63"/>
    <w:rsid w:val="009B5EA9"/>
    <w:rsid w:val="009B68A9"/>
    <w:rsid w:val="009B6BCD"/>
    <w:rsid w:val="009B6C58"/>
    <w:rsid w:val="009B6C91"/>
    <w:rsid w:val="009B6DF3"/>
    <w:rsid w:val="009B6E13"/>
    <w:rsid w:val="009C086B"/>
    <w:rsid w:val="009C11FC"/>
    <w:rsid w:val="009C1745"/>
    <w:rsid w:val="009C17F4"/>
    <w:rsid w:val="009C281D"/>
    <w:rsid w:val="009C29DB"/>
    <w:rsid w:val="009C3210"/>
    <w:rsid w:val="009C3557"/>
    <w:rsid w:val="009C417F"/>
    <w:rsid w:val="009C424D"/>
    <w:rsid w:val="009C42B1"/>
    <w:rsid w:val="009C437A"/>
    <w:rsid w:val="009C4443"/>
    <w:rsid w:val="009C46FC"/>
    <w:rsid w:val="009C49D3"/>
    <w:rsid w:val="009C49E2"/>
    <w:rsid w:val="009C5617"/>
    <w:rsid w:val="009C6A3A"/>
    <w:rsid w:val="009C6BAE"/>
    <w:rsid w:val="009C7544"/>
    <w:rsid w:val="009C7A81"/>
    <w:rsid w:val="009C7C8A"/>
    <w:rsid w:val="009C7F10"/>
    <w:rsid w:val="009D01E7"/>
    <w:rsid w:val="009D022F"/>
    <w:rsid w:val="009D04A1"/>
    <w:rsid w:val="009D0757"/>
    <w:rsid w:val="009D091A"/>
    <w:rsid w:val="009D0D54"/>
    <w:rsid w:val="009D1E35"/>
    <w:rsid w:val="009D2466"/>
    <w:rsid w:val="009D289E"/>
    <w:rsid w:val="009D3B07"/>
    <w:rsid w:val="009D41A1"/>
    <w:rsid w:val="009D41FE"/>
    <w:rsid w:val="009D4A96"/>
    <w:rsid w:val="009D4E04"/>
    <w:rsid w:val="009D4FE5"/>
    <w:rsid w:val="009D5379"/>
    <w:rsid w:val="009D5D3A"/>
    <w:rsid w:val="009D643C"/>
    <w:rsid w:val="009D6584"/>
    <w:rsid w:val="009D669D"/>
    <w:rsid w:val="009D6A1E"/>
    <w:rsid w:val="009D6E4A"/>
    <w:rsid w:val="009D6F43"/>
    <w:rsid w:val="009D7671"/>
    <w:rsid w:val="009D767F"/>
    <w:rsid w:val="009D799D"/>
    <w:rsid w:val="009E01D9"/>
    <w:rsid w:val="009E0259"/>
    <w:rsid w:val="009E038E"/>
    <w:rsid w:val="009E03D2"/>
    <w:rsid w:val="009E0494"/>
    <w:rsid w:val="009E1177"/>
    <w:rsid w:val="009E1401"/>
    <w:rsid w:val="009E188D"/>
    <w:rsid w:val="009E2026"/>
    <w:rsid w:val="009E26E2"/>
    <w:rsid w:val="009E27EA"/>
    <w:rsid w:val="009E3685"/>
    <w:rsid w:val="009E37A3"/>
    <w:rsid w:val="009E39DA"/>
    <w:rsid w:val="009E4146"/>
    <w:rsid w:val="009E48B0"/>
    <w:rsid w:val="009E4F4E"/>
    <w:rsid w:val="009E4F67"/>
    <w:rsid w:val="009E50FA"/>
    <w:rsid w:val="009E579A"/>
    <w:rsid w:val="009E59B6"/>
    <w:rsid w:val="009E5EF2"/>
    <w:rsid w:val="009E6030"/>
    <w:rsid w:val="009E6275"/>
    <w:rsid w:val="009E6B8B"/>
    <w:rsid w:val="009E6E46"/>
    <w:rsid w:val="009E75C4"/>
    <w:rsid w:val="009F0237"/>
    <w:rsid w:val="009F0482"/>
    <w:rsid w:val="009F0515"/>
    <w:rsid w:val="009F058A"/>
    <w:rsid w:val="009F083D"/>
    <w:rsid w:val="009F1E95"/>
    <w:rsid w:val="009F252C"/>
    <w:rsid w:val="009F25C3"/>
    <w:rsid w:val="009F2ACD"/>
    <w:rsid w:val="009F399E"/>
    <w:rsid w:val="009F3F6A"/>
    <w:rsid w:val="009F4111"/>
    <w:rsid w:val="009F41CA"/>
    <w:rsid w:val="009F49DB"/>
    <w:rsid w:val="009F4AC0"/>
    <w:rsid w:val="009F5029"/>
    <w:rsid w:val="009F5144"/>
    <w:rsid w:val="009F5401"/>
    <w:rsid w:val="009F5846"/>
    <w:rsid w:val="009F5986"/>
    <w:rsid w:val="009F63AC"/>
    <w:rsid w:val="009F6ACA"/>
    <w:rsid w:val="009F776F"/>
    <w:rsid w:val="00A0067A"/>
    <w:rsid w:val="00A0101F"/>
    <w:rsid w:val="00A013FD"/>
    <w:rsid w:val="00A01CD3"/>
    <w:rsid w:val="00A022F3"/>
    <w:rsid w:val="00A0231E"/>
    <w:rsid w:val="00A02651"/>
    <w:rsid w:val="00A0268F"/>
    <w:rsid w:val="00A02C04"/>
    <w:rsid w:val="00A02F69"/>
    <w:rsid w:val="00A04621"/>
    <w:rsid w:val="00A049E5"/>
    <w:rsid w:val="00A04B58"/>
    <w:rsid w:val="00A04BD8"/>
    <w:rsid w:val="00A050D4"/>
    <w:rsid w:val="00A05106"/>
    <w:rsid w:val="00A052C0"/>
    <w:rsid w:val="00A0570F"/>
    <w:rsid w:val="00A0590D"/>
    <w:rsid w:val="00A05AAD"/>
    <w:rsid w:val="00A05C24"/>
    <w:rsid w:val="00A06216"/>
    <w:rsid w:val="00A06839"/>
    <w:rsid w:val="00A06B92"/>
    <w:rsid w:val="00A0700C"/>
    <w:rsid w:val="00A075B0"/>
    <w:rsid w:val="00A11407"/>
    <w:rsid w:val="00A11507"/>
    <w:rsid w:val="00A115E0"/>
    <w:rsid w:val="00A11B1D"/>
    <w:rsid w:val="00A11E73"/>
    <w:rsid w:val="00A1210C"/>
    <w:rsid w:val="00A123DD"/>
    <w:rsid w:val="00A129F3"/>
    <w:rsid w:val="00A12C9F"/>
    <w:rsid w:val="00A12F31"/>
    <w:rsid w:val="00A130EB"/>
    <w:rsid w:val="00A13316"/>
    <w:rsid w:val="00A134C2"/>
    <w:rsid w:val="00A1368E"/>
    <w:rsid w:val="00A140A7"/>
    <w:rsid w:val="00A14760"/>
    <w:rsid w:val="00A14CC6"/>
    <w:rsid w:val="00A14FFA"/>
    <w:rsid w:val="00A155B7"/>
    <w:rsid w:val="00A15D84"/>
    <w:rsid w:val="00A15F29"/>
    <w:rsid w:val="00A15FCE"/>
    <w:rsid w:val="00A163D8"/>
    <w:rsid w:val="00A16437"/>
    <w:rsid w:val="00A16955"/>
    <w:rsid w:val="00A16AEA"/>
    <w:rsid w:val="00A17765"/>
    <w:rsid w:val="00A1784C"/>
    <w:rsid w:val="00A17BD7"/>
    <w:rsid w:val="00A2005C"/>
    <w:rsid w:val="00A20B40"/>
    <w:rsid w:val="00A20CF4"/>
    <w:rsid w:val="00A20F2F"/>
    <w:rsid w:val="00A22286"/>
    <w:rsid w:val="00A22A32"/>
    <w:rsid w:val="00A22F4A"/>
    <w:rsid w:val="00A22F95"/>
    <w:rsid w:val="00A231A8"/>
    <w:rsid w:val="00A2328A"/>
    <w:rsid w:val="00A235A0"/>
    <w:rsid w:val="00A24B99"/>
    <w:rsid w:val="00A24D8F"/>
    <w:rsid w:val="00A24ECB"/>
    <w:rsid w:val="00A255BD"/>
    <w:rsid w:val="00A2572A"/>
    <w:rsid w:val="00A2574E"/>
    <w:rsid w:val="00A2583E"/>
    <w:rsid w:val="00A25C1D"/>
    <w:rsid w:val="00A25F59"/>
    <w:rsid w:val="00A267AB"/>
    <w:rsid w:val="00A26C89"/>
    <w:rsid w:val="00A26CE1"/>
    <w:rsid w:val="00A27172"/>
    <w:rsid w:val="00A2723D"/>
    <w:rsid w:val="00A27690"/>
    <w:rsid w:val="00A3049A"/>
    <w:rsid w:val="00A30688"/>
    <w:rsid w:val="00A30C4A"/>
    <w:rsid w:val="00A30DC3"/>
    <w:rsid w:val="00A328E9"/>
    <w:rsid w:val="00A32C15"/>
    <w:rsid w:val="00A33178"/>
    <w:rsid w:val="00A33412"/>
    <w:rsid w:val="00A336A1"/>
    <w:rsid w:val="00A33802"/>
    <w:rsid w:val="00A342DA"/>
    <w:rsid w:val="00A34367"/>
    <w:rsid w:val="00A34EB8"/>
    <w:rsid w:val="00A352B6"/>
    <w:rsid w:val="00A35601"/>
    <w:rsid w:val="00A35776"/>
    <w:rsid w:val="00A36998"/>
    <w:rsid w:val="00A37B6E"/>
    <w:rsid w:val="00A37F0F"/>
    <w:rsid w:val="00A40092"/>
    <w:rsid w:val="00A419F3"/>
    <w:rsid w:val="00A41CD3"/>
    <w:rsid w:val="00A420C3"/>
    <w:rsid w:val="00A42411"/>
    <w:rsid w:val="00A42712"/>
    <w:rsid w:val="00A428B4"/>
    <w:rsid w:val="00A42CB6"/>
    <w:rsid w:val="00A42DDF"/>
    <w:rsid w:val="00A4349A"/>
    <w:rsid w:val="00A437EC"/>
    <w:rsid w:val="00A4387F"/>
    <w:rsid w:val="00A44126"/>
    <w:rsid w:val="00A44BBE"/>
    <w:rsid w:val="00A45220"/>
    <w:rsid w:val="00A45549"/>
    <w:rsid w:val="00A4568F"/>
    <w:rsid w:val="00A4579F"/>
    <w:rsid w:val="00A458CD"/>
    <w:rsid w:val="00A45CD0"/>
    <w:rsid w:val="00A45E16"/>
    <w:rsid w:val="00A464B0"/>
    <w:rsid w:val="00A46736"/>
    <w:rsid w:val="00A46A10"/>
    <w:rsid w:val="00A46EE7"/>
    <w:rsid w:val="00A473A0"/>
    <w:rsid w:val="00A47460"/>
    <w:rsid w:val="00A47E97"/>
    <w:rsid w:val="00A50D4D"/>
    <w:rsid w:val="00A50DF3"/>
    <w:rsid w:val="00A51326"/>
    <w:rsid w:val="00A51A79"/>
    <w:rsid w:val="00A51AC4"/>
    <w:rsid w:val="00A51C8C"/>
    <w:rsid w:val="00A51D29"/>
    <w:rsid w:val="00A52A24"/>
    <w:rsid w:val="00A532AC"/>
    <w:rsid w:val="00A53404"/>
    <w:rsid w:val="00A53F23"/>
    <w:rsid w:val="00A547D5"/>
    <w:rsid w:val="00A54EDE"/>
    <w:rsid w:val="00A553C0"/>
    <w:rsid w:val="00A55879"/>
    <w:rsid w:val="00A55957"/>
    <w:rsid w:val="00A55BC2"/>
    <w:rsid w:val="00A55C04"/>
    <w:rsid w:val="00A5673F"/>
    <w:rsid w:val="00A56896"/>
    <w:rsid w:val="00A56D6E"/>
    <w:rsid w:val="00A56FF6"/>
    <w:rsid w:val="00A57090"/>
    <w:rsid w:val="00A577D9"/>
    <w:rsid w:val="00A57FED"/>
    <w:rsid w:val="00A60056"/>
    <w:rsid w:val="00A602F0"/>
    <w:rsid w:val="00A60A7E"/>
    <w:rsid w:val="00A60AAA"/>
    <w:rsid w:val="00A60BB5"/>
    <w:rsid w:val="00A60CC8"/>
    <w:rsid w:val="00A60EE1"/>
    <w:rsid w:val="00A61048"/>
    <w:rsid w:val="00A612DC"/>
    <w:rsid w:val="00A61733"/>
    <w:rsid w:val="00A61F3B"/>
    <w:rsid w:val="00A620E5"/>
    <w:rsid w:val="00A62263"/>
    <w:rsid w:val="00A6237C"/>
    <w:rsid w:val="00A626FF"/>
    <w:rsid w:val="00A627DB"/>
    <w:rsid w:val="00A62A98"/>
    <w:rsid w:val="00A6354F"/>
    <w:rsid w:val="00A638FB"/>
    <w:rsid w:val="00A6420D"/>
    <w:rsid w:val="00A6533D"/>
    <w:rsid w:val="00A65754"/>
    <w:rsid w:val="00A65C78"/>
    <w:rsid w:val="00A661B6"/>
    <w:rsid w:val="00A6671D"/>
    <w:rsid w:val="00A6689A"/>
    <w:rsid w:val="00A66A95"/>
    <w:rsid w:val="00A67889"/>
    <w:rsid w:val="00A70C18"/>
    <w:rsid w:val="00A70FB6"/>
    <w:rsid w:val="00A7147C"/>
    <w:rsid w:val="00A7161F"/>
    <w:rsid w:val="00A716E8"/>
    <w:rsid w:val="00A71851"/>
    <w:rsid w:val="00A71C02"/>
    <w:rsid w:val="00A71C2F"/>
    <w:rsid w:val="00A71D3B"/>
    <w:rsid w:val="00A71E11"/>
    <w:rsid w:val="00A72C35"/>
    <w:rsid w:val="00A72D60"/>
    <w:rsid w:val="00A730F5"/>
    <w:rsid w:val="00A73110"/>
    <w:rsid w:val="00A73E72"/>
    <w:rsid w:val="00A74191"/>
    <w:rsid w:val="00A744AC"/>
    <w:rsid w:val="00A7459B"/>
    <w:rsid w:val="00A74985"/>
    <w:rsid w:val="00A74AAA"/>
    <w:rsid w:val="00A74D07"/>
    <w:rsid w:val="00A751E2"/>
    <w:rsid w:val="00A759C6"/>
    <w:rsid w:val="00A75D4C"/>
    <w:rsid w:val="00A76220"/>
    <w:rsid w:val="00A76833"/>
    <w:rsid w:val="00A76B46"/>
    <w:rsid w:val="00A7704F"/>
    <w:rsid w:val="00A77758"/>
    <w:rsid w:val="00A77B84"/>
    <w:rsid w:val="00A77C80"/>
    <w:rsid w:val="00A77CB9"/>
    <w:rsid w:val="00A800CD"/>
    <w:rsid w:val="00A801BA"/>
    <w:rsid w:val="00A802C0"/>
    <w:rsid w:val="00A80377"/>
    <w:rsid w:val="00A807B6"/>
    <w:rsid w:val="00A827F1"/>
    <w:rsid w:val="00A8317C"/>
    <w:rsid w:val="00A8346F"/>
    <w:rsid w:val="00A83882"/>
    <w:rsid w:val="00A84A2F"/>
    <w:rsid w:val="00A85097"/>
    <w:rsid w:val="00A855F3"/>
    <w:rsid w:val="00A859CA"/>
    <w:rsid w:val="00A86257"/>
    <w:rsid w:val="00A862B0"/>
    <w:rsid w:val="00A86655"/>
    <w:rsid w:val="00A86AD4"/>
    <w:rsid w:val="00A86F79"/>
    <w:rsid w:val="00A87548"/>
    <w:rsid w:val="00A87B07"/>
    <w:rsid w:val="00A90013"/>
    <w:rsid w:val="00A90179"/>
    <w:rsid w:val="00A90846"/>
    <w:rsid w:val="00A9133D"/>
    <w:rsid w:val="00A918D1"/>
    <w:rsid w:val="00A91E7E"/>
    <w:rsid w:val="00A91EFA"/>
    <w:rsid w:val="00A91F32"/>
    <w:rsid w:val="00A91F7A"/>
    <w:rsid w:val="00A92676"/>
    <w:rsid w:val="00A929B5"/>
    <w:rsid w:val="00A92DA2"/>
    <w:rsid w:val="00A93282"/>
    <w:rsid w:val="00A937BF"/>
    <w:rsid w:val="00A93853"/>
    <w:rsid w:val="00A938AC"/>
    <w:rsid w:val="00A9450C"/>
    <w:rsid w:val="00A94BCF"/>
    <w:rsid w:val="00A955B5"/>
    <w:rsid w:val="00A96486"/>
    <w:rsid w:val="00A9667A"/>
    <w:rsid w:val="00A978CE"/>
    <w:rsid w:val="00AA0050"/>
    <w:rsid w:val="00AA0373"/>
    <w:rsid w:val="00AA0FF5"/>
    <w:rsid w:val="00AA1744"/>
    <w:rsid w:val="00AA1C84"/>
    <w:rsid w:val="00AA33E9"/>
    <w:rsid w:val="00AA3AD8"/>
    <w:rsid w:val="00AA410D"/>
    <w:rsid w:val="00AA4303"/>
    <w:rsid w:val="00AA4673"/>
    <w:rsid w:val="00AA4B46"/>
    <w:rsid w:val="00AA51C9"/>
    <w:rsid w:val="00AA5203"/>
    <w:rsid w:val="00AA5E2D"/>
    <w:rsid w:val="00AA5FF7"/>
    <w:rsid w:val="00AA6187"/>
    <w:rsid w:val="00AA63F1"/>
    <w:rsid w:val="00AA6E27"/>
    <w:rsid w:val="00AA6FEB"/>
    <w:rsid w:val="00AA72F8"/>
    <w:rsid w:val="00AA74A2"/>
    <w:rsid w:val="00AA78D9"/>
    <w:rsid w:val="00AA797A"/>
    <w:rsid w:val="00AB00DC"/>
    <w:rsid w:val="00AB06F5"/>
    <w:rsid w:val="00AB1985"/>
    <w:rsid w:val="00AB1A90"/>
    <w:rsid w:val="00AB1ABC"/>
    <w:rsid w:val="00AB1C76"/>
    <w:rsid w:val="00AB1E7A"/>
    <w:rsid w:val="00AB280A"/>
    <w:rsid w:val="00AB2A1B"/>
    <w:rsid w:val="00AB2C7F"/>
    <w:rsid w:val="00AB2D69"/>
    <w:rsid w:val="00AB3247"/>
    <w:rsid w:val="00AB375D"/>
    <w:rsid w:val="00AB3771"/>
    <w:rsid w:val="00AB3868"/>
    <w:rsid w:val="00AB3C43"/>
    <w:rsid w:val="00AB44C2"/>
    <w:rsid w:val="00AB47C6"/>
    <w:rsid w:val="00AB6206"/>
    <w:rsid w:val="00AB6611"/>
    <w:rsid w:val="00AB6741"/>
    <w:rsid w:val="00AB70EA"/>
    <w:rsid w:val="00AB75F1"/>
    <w:rsid w:val="00AB7E93"/>
    <w:rsid w:val="00AB7EC7"/>
    <w:rsid w:val="00AC029B"/>
    <w:rsid w:val="00AC0F09"/>
    <w:rsid w:val="00AC0F45"/>
    <w:rsid w:val="00AC1197"/>
    <w:rsid w:val="00AC16B3"/>
    <w:rsid w:val="00AC20EE"/>
    <w:rsid w:val="00AC22D0"/>
    <w:rsid w:val="00AC235A"/>
    <w:rsid w:val="00AC2414"/>
    <w:rsid w:val="00AC24E3"/>
    <w:rsid w:val="00AC2591"/>
    <w:rsid w:val="00AC2946"/>
    <w:rsid w:val="00AC382B"/>
    <w:rsid w:val="00AC42C7"/>
    <w:rsid w:val="00AC4555"/>
    <w:rsid w:val="00AC482B"/>
    <w:rsid w:val="00AC4842"/>
    <w:rsid w:val="00AC50AA"/>
    <w:rsid w:val="00AC543B"/>
    <w:rsid w:val="00AC59AB"/>
    <w:rsid w:val="00AC6375"/>
    <w:rsid w:val="00AC637C"/>
    <w:rsid w:val="00AC6D86"/>
    <w:rsid w:val="00AC7A2D"/>
    <w:rsid w:val="00AC7E6A"/>
    <w:rsid w:val="00AD000F"/>
    <w:rsid w:val="00AD014B"/>
    <w:rsid w:val="00AD0674"/>
    <w:rsid w:val="00AD097E"/>
    <w:rsid w:val="00AD1144"/>
    <w:rsid w:val="00AD15A2"/>
    <w:rsid w:val="00AD18E0"/>
    <w:rsid w:val="00AD2C7B"/>
    <w:rsid w:val="00AD3571"/>
    <w:rsid w:val="00AD3C89"/>
    <w:rsid w:val="00AD3DF6"/>
    <w:rsid w:val="00AD3E4F"/>
    <w:rsid w:val="00AD447E"/>
    <w:rsid w:val="00AD46CE"/>
    <w:rsid w:val="00AD4C24"/>
    <w:rsid w:val="00AD4CDB"/>
    <w:rsid w:val="00AD5432"/>
    <w:rsid w:val="00AD5950"/>
    <w:rsid w:val="00AD59FA"/>
    <w:rsid w:val="00AD65A9"/>
    <w:rsid w:val="00AD664E"/>
    <w:rsid w:val="00AD69B6"/>
    <w:rsid w:val="00AD7309"/>
    <w:rsid w:val="00AD753F"/>
    <w:rsid w:val="00AD79D9"/>
    <w:rsid w:val="00AE0D53"/>
    <w:rsid w:val="00AE1314"/>
    <w:rsid w:val="00AE13D9"/>
    <w:rsid w:val="00AE171C"/>
    <w:rsid w:val="00AE1AD6"/>
    <w:rsid w:val="00AE1BC7"/>
    <w:rsid w:val="00AE1D38"/>
    <w:rsid w:val="00AE2AD7"/>
    <w:rsid w:val="00AE2EBD"/>
    <w:rsid w:val="00AE345D"/>
    <w:rsid w:val="00AE3544"/>
    <w:rsid w:val="00AE3609"/>
    <w:rsid w:val="00AE3676"/>
    <w:rsid w:val="00AE42A8"/>
    <w:rsid w:val="00AE42C4"/>
    <w:rsid w:val="00AE4435"/>
    <w:rsid w:val="00AE44D9"/>
    <w:rsid w:val="00AE4B44"/>
    <w:rsid w:val="00AE4FD5"/>
    <w:rsid w:val="00AE50C3"/>
    <w:rsid w:val="00AE57FE"/>
    <w:rsid w:val="00AE582B"/>
    <w:rsid w:val="00AE5925"/>
    <w:rsid w:val="00AE5993"/>
    <w:rsid w:val="00AE5CA0"/>
    <w:rsid w:val="00AE5D01"/>
    <w:rsid w:val="00AE6991"/>
    <w:rsid w:val="00AE6ABD"/>
    <w:rsid w:val="00AE73CA"/>
    <w:rsid w:val="00AE763F"/>
    <w:rsid w:val="00AF00BA"/>
    <w:rsid w:val="00AF0A8F"/>
    <w:rsid w:val="00AF0C12"/>
    <w:rsid w:val="00AF0D82"/>
    <w:rsid w:val="00AF0E61"/>
    <w:rsid w:val="00AF1AAC"/>
    <w:rsid w:val="00AF1D39"/>
    <w:rsid w:val="00AF2078"/>
    <w:rsid w:val="00AF29BF"/>
    <w:rsid w:val="00AF2CDD"/>
    <w:rsid w:val="00AF32F6"/>
    <w:rsid w:val="00AF34C7"/>
    <w:rsid w:val="00AF3C9F"/>
    <w:rsid w:val="00AF41E0"/>
    <w:rsid w:val="00AF434D"/>
    <w:rsid w:val="00AF43E8"/>
    <w:rsid w:val="00AF4886"/>
    <w:rsid w:val="00AF4E03"/>
    <w:rsid w:val="00AF50AF"/>
    <w:rsid w:val="00AF592B"/>
    <w:rsid w:val="00AF5A2E"/>
    <w:rsid w:val="00AF5A46"/>
    <w:rsid w:val="00AF603B"/>
    <w:rsid w:val="00AF6096"/>
    <w:rsid w:val="00AF6EBA"/>
    <w:rsid w:val="00AF7184"/>
    <w:rsid w:val="00AF761F"/>
    <w:rsid w:val="00AF7792"/>
    <w:rsid w:val="00AF78D8"/>
    <w:rsid w:val="00AF797A"/>
    <w:rsid w:val="00B00B95"/>
    <w:rsid w:val="00B00D0F"/>
    <w:rsid w:val="00B0100F"/>
    <w:rsid w:val="00B01D8F"/>
    <w:rsid w:val="00B02962"/>
    <w:rsid w:val="00B0298C"/>
    <w:rsid w:val="00B034C7"/>
    <w:rsid w:val="00B03666"/>
    <w:rsid w:val="00B036C7"/>
    <w:rsid w:val="00B038BC"/>
    <w:rsid w:val="00B03D1B"/>
    <w:rsid w:val="00B03F9C"/>
    <w:rsid w:val="00B0493A"/>
    <w:rsid w:val="00B05953"/>
    <w:rsid w:val="00B05957"/>
    <w:rsid w:val="00B060CD"/>
    <w:rsid w:val="00B06D34"/>
    <w:rsid w:val="00B06E57"/>
    <w:rsid w:val="00B070B3"/>
    <w:rsid w:val="00B07B02"/>
    <w:rsid w:val="00B07B46"/>
    <w:rsid w:val="00B07E5A"/>
    <w:rsid w:val="00B11787"/>
    <w:rsid w:val="00B12128"/>
    <w:rsid w:val="00B123DF"/>
    <w:rsid w:val="00B128F7"/>
    <w:rsid w:val="00B12A81"/>
    <w:rsid w:val="00B13046"/>
    <w:rsid w:val="00B133A4"/>
    <w:rsid w:val="00B1352B"/>
    <w:rsid w:val="00B1358F"/>
    <w:rsid w:val="00B137DC"/>
    <w:rsid w:val="00B13B17"/>
    <w:rsid w:val="00B140DB"/>
    <w:rsid w:val="00B14C16"/>
    <w:rsid w:val="00B14FB1"/>
    <w:rsid w:val="00B1541E"/>
    <w:rsid w:val="00B15447"/>
    <w:rsid w:val="00B15750"/>
    <w:rsid w:val="00B15B69"/>
    <w:rsid w:val="00B162BC"/>
    <w:rsid w:val="00B1653F"/>
    <w:rsid w:val="00B16D95"/>
    <w:rsid w:val="00B175EC"/>
    <w:rsid w:val="00B17687"/>
    <w:rsid w:val="00B17835"/>
    <w:rsid w:val="00B1798B"/>
    <w:rsid w:val="00B20025"/>
    <w:rsid w:val="00B203C3"/>
    <w:rsid w:val="00B20A15"/>
    <w:rsid w:val="00B20B3B"/>
    <w:rsid w:val="00B20F83"/>
    <w:rsid w:val="00B21B80"/>
    <w:rsid w:val="00B21CDB"/>
    <w:rsid w:val="00B21E6D"/>
    <w:rsid w:val="00B21EC9"/>
    <w:rsid w:val="00B21F0E"/>
    <w:rsid w:val="00B22273"/>
    <w:rsid w:val="00B223E1"/>
    <w:rsid w:val="00B2244A"/>
    <w:rsid w:val="00B22908"/>
    <w:rsid w:val="00B22A84"/>
    <w:rsid w:val="00B22D92"/>
    <w:rsid w:val="00B230CF"/>
    <w:rsid w:val="00B23377"/>
    <w:rsid w:val="00B236A4"/>
    <w:rsid w:val="00B238A6"/>
    <w:rsid w:val="00B23F85"/>
    <w:rsid w:val="00B24212"/>
    <w:rsid w:val="00B243BE"/>
    <w:rsid w:val="00B25550"/>
    <w:rsid w:val="00B25746"/>
    <w:rsid w:val="00B26034"/>
    <w:rsid w:val="00B2702D"/>
    <w:rsid w:val="00B274E2"/>
    <w:rsid w:val="00B30550"/>
    <w:rsid w:val="00B30687"/>
    <w:rsid w:val="00B3087C"/>
    <w:rsid w:val="00B308F7"/>
    <w:rsid w:val="00B30BC6"/>
    <w:rsid w:val="00B30E23"/>
    <w:rsid w:val="00B30FBB"/>
    <w:rsid w:val="00B3135F"/>
    <w:rsid w:val="00B31D87"/>
    <w:rsid w:val="00B31E19"/>
    <w:rsid w:val="00B32067"/>
    <w:rsid w:val="00B32A95"/>
    <w:rsid w:val="00B32AB6"/>
    <w:rsid w:val="00B33487"/>
    <w:rsid w:val="00B33533"/>
    <w:rsid w:val="00B33BE3"/>
    <w:rsid w:val="00B341EF"/>
    <w:rsid w:val="00B34AC1"/>
    <w:rsid w:val="00B35DA8"/>
    <w:rsid w:val="00B35DB1"/>
    <w:rsid w:val="00B363AF"/>
    <w:rsid w:val="00B367EF"/>
    <w:rsid w:val="00B368FF"/>
    <w:rsid w:val="00B3699F"/>
    <w:rsid w:val="00B371DE"/>
    <w:rsid w:val="00B372AB"/>
    <w:rsid w:val="00B372B4"/>
    <w:rsid w:val="00B404E6"/>
    <w:rsid w:val="00B40607"/>
    <w:rsid w:val="00B40D77"/>
    <w:rsid w:val="00B40DC8"/>
    <w:rsid w:val="00B40E44"/>
    <w:rsid w:val="00B411CF"/>
    <w:rsid w:val="00B41371"/>
    <w:rsid w:val="00B41393"/>
    <w:rsid w:val="00B41826"/>
    <w:rsid w:val="00B418E0"/>
    <w:rsid w:val="00B41A61"/>
    <w:rsid w:val="00B41FE0"/>
    <w:rsid w:val="00B42B7C"/>
    <w:rsid w:val="00B42C19"/>
    <w:rsid w:val="00B42D89"/>
    <w:rsid w:val="00B42E72"/>
    <w:rsid w:val="00B43716"/>
    <w:rsid w:val="00B43E59"/>
    <w:rsid w:val="00B440A7"/>
    <w:rsid w:val="00B44443"/>
    <w:rsid w:val="00B4490B"/>
    <w:rsid w:val="00B44D15"/>
    <w:rsid w:val="00B455A1"/>
    <w:rsid w:val="00B45961"/>
    <w:rsid w:val="00B45F60"/>
    <w:rsid w:val="00B46112"/>
    <w:rsid w:val="00B46CCD"/>
    <w:rsid w:val="00B46DAC"/>
    <w:rsid w:val="00B47019"/>
    <w:rsid w:val="00B473A0"/>
    <w:rsid w:val="00B47CAB"/>
    <w:rsid w:val="00B47D4B"/>
    <w:rsid w:val="00B50642"/>
    <w:rsid w:val="00B506DA"/>
    <w:rsid w:val="00B509BA"/>
    <w:rsid w:val="00B51063"/>
    <w:rsid w:val="00B5122E"/>
    <w:rsid w:val="00B51547"/>
    <w:rsid w:val="00B5155A"/>
    <w:rsid w:val="00B51C9D"/>
    <w:rsid w:val="00B51CBE"/>
    <w:rsid w:val="00B52288"/>
    <w:rsid w:val="00B5284B"/>
    <w:rsid w:val="00B52A13"/>
    <w:rsid w:val="00B52D95"/>
    <w:rsid w:val="00B52DCC"/>
    <w:rsid w:val="00B530F3"/>
    <w:rsid w:val="00B539D6"/>
    <w:rsid w:val="00B53E0C"/>
    <w:rsid w:val="00B53F08"/>
    <w:rsid w:val="00B540D9"/>
    <w:rsid w:val="00B54970"/>
    <w:rsid w:val="00B54986"/>
    <w:rsid w:val="00B55044"/>
    <w:rsid w:val="00B555E2"/>
    <w:rsid w:val="00B5591F"/>
    <w:rsid w:val="00B559C5"/>
    <w:rsid w:val="00B56680"/>
    <w:rsid w:val="00B57063"/>
    <w:rsid w:val="00B574E3"/>
    <w:rsid w:val="00B577F5"/>
    <w:rsid w:val="00B6025F"/>
    <w:rsid w:val="00B60CCF"/>
    <w:rsid w:val="00B61418"/>
    <w:rsid w:val="00B61989"/>
    <w:rsid w:val="00B61D36"/>
    <w:rsid w:val="00B6216F"/>
    <w:rsid w:val="00B62171"/>
    <w:rsid w:val="00B62478"/>
    <w:rsid w:val="00B62741"/>
    <w:rsid w:val="00B62A13"/>
    <w:rsid w:val="00B62A23"/>
    <w:rsid w:val="00B62E7A"/>
    <w:rsid w:val="00B63ED2"/>
    <w:rsid w:val="00B64122"/>
    <w:rsid w:val="00B643CA"/>
    <w:rsid w:val="00B644D6"/>
    <w:rsid w:val="00B65301"/>
    <w:rsid w:val="00B653CB"/>
    <w:rsid w:val="00B667C3"/>
    <w:rsid w:val="00B66822"/>
    <w:rsid w:val="00B66C84"/>
    <w:rsid w:val="00B670D2"/>
    <w:rsid w:val="00B67652"/>
    <w:rsid w:val="00B67882"/>
    <w:rsid w:val="00B6798B"/>
    <w:rsid w:val="00B67CDD"/>
    <w:rsid w:val="00B67DAF"/>
    <w:rsid w:val="00B701D2"/>
    <w:rsid w:val="00B70990"/>
    <w:rsid w:val="00B70E1D"/>
    <w:rsid w:val="00B71B75"/>
    <w:rsid w:val="00B71FCE"/>
    <w:rsid w:val="00B72711"/>
    <w:rsid w:val="00B72933"/>
    <w:rsid w:val="00B72BA1"/>
    <w:rsid w:val="00B72CDF"/>
    <w:rsid w:val="00B73B3C"/>
    <w:rsid w:val="00B73CDC"/>
    <w:rsid w:val="00B740EB"/>
    <w:rsid w:val="00B7498F"/>
    <w:rsid w:val="00B756DA"/>
    <w:rsid w:val="00B75FAB"/>
    <w:rsid w:val="00B76AE8"/>
    <w:rsid w:val="00B77636"/>
    <w:rsid w:val="00B7771A"/>
    <w:rsid w:val="00B77AD1"/>
    <w:rsid w:val="00B77D19"/>
    <w:rsid w:val="00B80966"/>
    <w:rsid w:val="00B80F8D"/>
    <w:rsid w:val="00B80FFC"/>
    <w:rsid w:val="00B81004"/>
    <w:rsid w:val="00B8122A"/>
    <w:rsid w:val="00B82C70"/>
    <w:rsid w:val="00B83195"/>
    <w:rsid w:val="00B83439"/>
    <w:rsid w:val="00B836F4"/>
    <w:rsid w:val="00B83C11"/>
    <w:rsid w:val="00B83E41"/>
    <w:rsid w:val="00B83E88"/>
    <w:rsid w:val="00B83EF0"/>
    <w:rsid w:val="00B842F2"/>
    <w:rsid w:val="00B8473D"/>
    <w:rsid w:val="00B84D4A"/>
    <w:rsid w:val="00B8507B"/>
    <w:rsid w:val="00B85A79"/>
    <w:rsid w:val="00B85AFE"/>
    <w:rsid w:val="00B85C7C"/>
    <w:rsid w:val="00B85D23"/>
    <w:rsid w:val="00B863FC"/>
    <w:rsid w:val="00B867E1"/>
    <w:rsid w:val="00B86EDC"/>
    <w:rsid w:val="00B873AD"/>
    <w:rsid w:val="00B87B0A"/>
    <w:rsid w:val="00B87C25"/>
    <w:rsid w:val="00B90266"/>
    <w:rsid w:val="00B90289"/>
    <w:rsid w:val="00B915B9"/>
    <w:rsid w:val="00B91ACF"/>
    <w:rsid w:val="00B92218"/>
    <w:rsid w:val="00B9239E"/>
    <w:rsid w:val="00B92B67"/>
    <w:rsid w:val="00B92BB3"/>
    <w:rsid w:val="00B935AC"/>
    <w:rsid w:val="00B937FE"/>
    <w:rsid w:val="00B93BD0"/>
    <w:rsid w:val="00B93C44"/>
    <w:rsid w:val="00B95AAF"/>
    <w:rsid w:val="00B95FF2"/>
    <w:rsid w:val="00B9601E"/>
    <w:rsid w:val="00B96D02"/>
    <w:rsid w:val="00B9716D"/>
    <w:rsid w:val="00B97184"/>
    <w:rsid w:val="00B9723A"/>
    <w:rsid w:val="00B973AC"/>
    <w:rsid w:val="00B97712"/>
    <w:rsid w:val="00BA0B87"/>
    <w:rsid w:val="00BA0DB9"/>
    <w:rsid w:val="00BA0DCE"/>
    <w:rsid w:val="00BA10AE"/>
    <w:rsid w:val="00BA13B0"/>
    <w:rsid w:val="00BA13B7"/>
    <w:rsid w:val="00BA1805"/>
    <w:rsid w:val="00BA1883"/>
    <w:rsid w:val="00BA2480"/>
    <w:rsid w:val="00BA25B5"/>
    <w:rsid w:val="00BA2FC5"/>
    <w:rsid w:val="00BA3090"/>
    <w:rsid w:val="00BA327D"/>
    <w:rsid w:val="00BA32F6"/>
    <w:rsid w:val="00BA362D"/>
    <w:rsid w:val="00BA399F"/>
    <w:rsid w:val="00BA3ED5"/>
    <w:rsid w:val="00BA4517"/>
    <w:rsid w:val="00BA5745"/>
    <w:rsid w:val="00BA5972"/>
    <w:rsid w:val="00BA611B"/>
    <w:rsid w:val="00BA61A0"/>
    <w:rsid w:val="00BA63AC"/>
    <w:rsid w:val="00BA6905"/>
    <w:rsid w:val="00BA6F55"/>
    <w:rsid w:val="00BA78D9"/>
    <w:rsid w:val="00BB00A5"/>
    <w:rsid w:val="00BB04F6"/>
    <w:rsid w:val="00BB0803"/>
    <w:rsid w:val="00BB0D82"/>
    <w:rsid w:val="00BB13AF"/>
    <w:rsid w:val="00BB14E3"/>
    <w:rsid w:val="00BB1660"/>
    <w:rsid w:val="00BB1CF9"/>
    <w:rsid w:val="00BB1E65"/>
    <w:rsid w:val="00BB209D"/>
    <w:rsid w:val="00BB28B6"/>
    <w:rsid w:val="00BB298F"/>
    <w:rsid w:val="00BB2D1E"/>
    <w:rsid w:val="00BB2F09"/>
    <w:rsid w:val="00BB449D"/>
    <w:rsid w:val="00BB4E4D"/>
    <w:rsid w:val="00BB58FB"/>
    <w:rsid w:val="00BB5D2A"/>
    <w:rsid w:val="00BB5E97"/>
    <w:rsid w:val="00BB6A97"/>
    <w:rsid w:val="00BB6D95"/>
    <w:rsid w:val="00BB76CD"/>
    <w:rsid w:val="00BC001A"/>
    <w:rsid w:val="00BC0E12"/>
    <w:rsid w:val="00BC13F8"/>
    <w:rsid w:val="00BC1973"/>
    <w:rsid w:val="00BC197A"/>
    <w:rsid w:val="00BC1C50"/>
    <w:rsid w:val="00BC2F15"/>
    <w:rsid w:val="00BC313D"/>
    <w:rsid w:val="00BC340A"/>
    <w:rsid w:val="00BC35CE"/>
    <w:rsid w:val="00BC3883"/>
    <w:rsid w:val="00BC3BE6"/>
    <w:rsid w:val="00BC3CA3"/>
    <w:rsid w:val="00BC40E0"/>
    <w:rsid w:val="00BC411A"/>
    <w:rsid w:val="00BC4244"/>
    <w:rsid w:val="00BC48C4"/>
    <w:rsid w:val="00BC50D0"/>
    <w:rsid w:val="00BC60AC"/>
    <w:rsid w:val="00BC65D1"/>
    <w:rsid w:val="00BC6974"/>
    <w:rsid w:val="00BC6B75"/>
    <w:rsid w:val="00BC6D4D"/>
    <w:rsid w:val="00BC7B57"/>
    <w:rsid w:val="00BC7D86"/>
    <w:rsid w:val="00BD1149"/>
    <w:rsid w:val="00BD1794"/>
    <w:rsid w:val="00BD1903"/>
    <w:rsid w:val="00BD29A0"/>
    <w:rsid w:val="00BD2B9D"/>
    <w:rsid w:val="00BD2D9B"/>
    <w:rsid w:val="00BD3408"/>
    <w:rsid w:val="00BD3D72"/>
    <w:rsid w:val="00BD3D75"/>
    <w:rsid w:val="00BD540A"/>
    <w:rsid w:val="00BD57D1"/>
    <w:rsid w:val="00BD5892"/>
    <w:rsid w:val="00BD6187"/>
    <w:rsid w:val="00BD6F08"/>
    <w:rsid w:val="00BD749A"/>
    <w:rsid w:val="00BD786B"/>
    <w:rsid w:val="00BD7D3A"/>
    <w:rsid w:val="00BE002E"/>
    <w:rsid w:val="00BE026F"/>
    <w:rsid w:val="00BE0CAC"/>
    <w:rsid w:val="00BE11D9"/>
    <w:rsid w:val="00BE1567"/>
    <w:rsid w:val="00BE1B39"/>
    <w:rsid w:val="00BE1E57"/>
    <w:rsid w:val="00BE326B"/>
    <w:rsid w:val="00BE37F7"/>
    <w:rsid w:val="00BE4AF1"/>
    <w:rsid w:val="00BE50B9"/>
    <w:rsid w:val="00BE525D"/>
    <w:rsid w:val="00BE5CD0"/>
    <w:rsid w:val="00BE6B61"/>
    <w:rsid w:val="00BE7364"/>
    <w:rsid w:val="00BE738A"/>
    <w:rsid w:val="00BE7834"/>
    <w:rsid w:val="00BE7DDF"/>
    <w:rsid w:val="00BF01BA"/>
    <w:rsid w:val="00BF07DD"/>
    <w:rsid w:val="00BF0A4E"/>
    <w:rsid w:val="00BF0B68"/>
    <w:rsid w:val="00BF0D2A"/>
    <w:rsid w:val="00BF0EAA"/>
    <w:rsid w:val="00BF1091"/>
    <w:rsid w:val="00BF17B4"/>
    <w:rsid w:val="00BF208F"/>
    <w:rsid w:val="00BF2817"/>
    <w:rsid w:val="00BF282E"/>
    <w:rsid w:val="00BF2843"/>
    <w:rsid w:val="00BF2891"/>
    <w:rsid w:val="00BF2B17"/>
    <w:rsid w:val="00BF341F"/>
    <w:rsid w:val="00BF374F"/>
    <w:rsid w:val="00BF3BDB"/>
    <w:rsid w:val="00BF40AD"/>
    <w:rsid w:val="00BF4137"/>
    <w:rsid w:val="00BF45C7"/>
    <w:rsid w:val="00BF4680"/>
    <w:rsid w:val="00BF4B51"/>
    <w:rsid w:val="00BF4B57"/>
    <w:rsid w:val="00BF4C11"/>
    <w:rsid w:val="00BF4D88"/>
    <w:rsid w:val="00BF4EEC"/>
    <w:rsid w:val="00BF4F00"/>
    <w:rsid w:val="00BF51F1"/>
    <w:rsid w:val="00BF5404"/>
    <w:rsid w:val="00BF636E"/>
    <w:rsid w:val="00BF713F"/>
    <w:rsid w:val="00BF7195"/>
    <w:rsid w:val="00BF7257"/>
    <w:rsid w:val="00BF73E7"/>
    <w:rsid w:val="00BF7894"/>
    <w:rsid w:val="00BF7CF2"/>
    <w:rsid w:val="00C00486"/>
    <w:rsid w:val="00C01009"/>
    <w:rsid w:val="00C01883"/>
    <w:rsid w:val="00C01A9D"/>
    <w:rsid w:val="00C01C08"/>
    <w:rsid w:val="00C0217A"/>
    <w:rsid w:val="00C021F1"/>
    <w:rsid w:val="00C02564"/>
    <w:rsid w:val="00C0268A"/>
    <w:rsid w:val="00C02751"/>
    <w:rsid w:val="00C0373D"/>
    <w:rsid w:val="00C03F06"/>
    <w:rsid w:val="00C03FF8"/>
    <w:rsid w:val="00C041A9"/>
    <w:rsid w:val="00C04340"/>
    <w:rsid w:val="00C04491"/>
    <w:rsid w:val="00C04495"/>
    <w:rsid w:val="00C05371"/>
    <w:rsid w:val="00C05855"/>
    <w:rsid w:val="00C05BC2"/>
    <w:rsid w:val="00C05D52"/>
    <w:rsid w:val="00C05D96"/>
    <w:rsid w:val="00C06AEF"/>
    <w:rsid w:val="00C0706E"/>
    <w:rsid w:val="00C071C0"/>
    <w:rsid w:val="00C0751F"/>
    <w:rsid w:val="00C07D18"/>
    <w:rsid w:val="00C07F38"/>
    <w:rsid w:val="00C10205"/>
    <w:rsid w:val="00C1056D"/>
    <w:rsid w:val="00C111DC"/>
    <w:rsid w:val="00C11F54"/>
    <w:rsid w:val="00C12652"/>
    <w:rsid w:val="00C12A6A"/>
    <w:rsid w:val="00C1352D"/>
    <w:rsid w:val="00C13A0A"/>
    <w:rsid w:val="00C13BEB"/>
    <w:rsid w:val="00C13FFA"/>
    <w:rsid w:val="00C1468B"/>
    <w:rsid w:val="00C14A9C"/>
    <w:rsid w:val="00C14B9D"/>
    <w:rsid w:val="00C14D93"/>
    <w:rsid w:val="00C15BEA"/>
    <w:rsid w:val="00C15EE3"/>
    <w:rsid w:val="00C16584"/>
    <w:rsid w:val="00C16A54"/>
    <w:rsid w:val="00C17490"/>
    <w:rsid w:val="00C17627"/>
    <w:rsid w:val="00C1796F"/>
    <w:rsid w:val="00C17988"/>
    <w:rsid w:val="00C17AC5"/>
    <w:rsid w:val="00C2114A"/>
    <w:rsid w:val="00C212C3"/>
    <w:rsid w:val="00C214DC"/>
    <w:rsid w:val="00C21986"/>
    <w:rsid w:val="00C21FA4"/>
    <w:rsid w:val="00C22122"/>
    <w:rsid w:val="00C23170"/>
    <w:rsid w:val="00C232E3"/>
    <w:rsid w:val="00C237AD"/>
    <w:rsid w:val="00C23D8B"/>
    <w:rsid w:val="00C2425E"/>
    <w:rsid w:val="00C24A37"/>
    <w:rsid w:val="00C24A62"/>
    <w:rsid w:val="00C25A0A"/>
    <w:rsid w:val="00C25AD7"/>
    <w:rsid w:val="00C25B4A"/>
    <w:rsid w:val="00C25DD9"/>
    <w:rsid w:val="00C260DA"/>
    <w:rsid w:val="00C26CE8"/>
    <w:rsid w:val="00C27108"/>
    <w:rsid w:val="00C2746A"/>
    <w:rsid w:val="00C30940"/>
    <w:rsid w:val="00C30A03"/>
    <w:rsid w:val="00C31A36"/>
    <w:rsid w:val="00C31F2F"/>
    <w:rsid w:val="00C329B4"/>
    <w:rsid w:val="00C32C0E"/>
    <w:rsid w:val="00C33011"/>
    <w:rsid w:val="00C330DD"/>
    <w:rsid w:val="00C3369A"/>
    <w:rsid w:val="00C3388C"/>
    <w:rsid w:val="00C33DA6"/>
    <w:rsid w:val="00C3403D"/>
    <w:rsid w:val="00C34CA3"/>
    <w:rsid w:val="00C35504"/>
    <w:rsid w:val="00C35608"/>
    <w:rsid w:val="00C36BD0"/>
    <w:rsid w:val="00C36BD8"/>
    <w:rsid w:val="00C37669"/>
    <w:rsid w:val="00C37BFA"/>
    <w:rsid w:val="00C37E7E"/>
    <w:rsid w:val="00C40086"/>
    <w:rsid w:val="00C408B4"/>
    <w:rsid w:val="00C40E9F"/>
    <w:rsid w:val="00C419F1"/>
    <w:rsid w:val="00C41ED0"/>
    <w:rsid w:val="00C41F69"/>
    <w:rsid w:val="00C41FAE"/>
    <w:rsid w:val="00C429FE"/>
    <w:rsid w:val="00C42DC6"/>
    <w:rsid w:val="00C43314"/>
    <w:rsid w:val="00C436D2"/>
    <w:rsid w:val="00C438CC"/>
    <w:rsid w:val="00C44199"/>
    <w:rsid w:val="00C4450C"/>
    <w:rsid w:val="00C445AE"/>
    <w:rsid w:val="00C44826"/>
    <w:rsid w:val="00C45048"/>
    <w:rsid w:val="00C45058"/>
    <w:rsid w:val="00C45091"/>
    <w:rsid w:val="00C4548C"/>
    <w:rsid w:val="00C45844"/>
    <w:rsid w:val="00C45973"/>
    <w:rsid w:val="00C459A7"/>
    <w:rsid w:val="00C45A37"/>
    <w:rsid w:val="00C45ABC"/>
    <w:rsid w:val="00C45C09"/>
    <w:rsid w:val="00C45C44"/>
    <w:rsid w:val="00C46798"/>
    <w:rsid w:val="00C46870"/>
    <w:rsid w:val="00C46B49"/>
    <w:rsid w:val="00C46E2D"/>
    <w:rsid w:val="00C47256"/>
    <w:rsid w:val="00C47CB5"/>
    <w:rsid w:val="00C5003B"/>
    <w:rsid w:val="00C5099A"/>
    <w:rsid w:val="00C50A0F"/>
    <w:rsid w:val="00C50B31"/>
    <w:rsid w:val="00C50CF3"/>
    <w:rsid w:val="00C513CF"/>
    <w:rsid w:val="00C51911"/>
    <w:rsid w:val="00C51A1E"/>
    <w:rsid w:val="00C51ABE"/>
    <w:rsid w:val="00C5228F"/>
    <w:rsid w:val="00C52463"/>
    <w:rsid w:val="00C52625"/>
    <w:rsid w:val="00C52C3F"/>
    <w:rsid w:val="00C53089"/>
    <w:rsid w:val="00C530A4"/>
    <w:rsid w:val="00C53476"/>
    <w:rsid w:val="00C534CB"/>
    <w:rsid w:val="00C53BDC"/>
    <w:rsid w:val="00C53CB7"/>
    <w:rsid w:val="00C548A8"/>
    <w:rsid w:val="00C548C5"/>
    <w:rsid w:val="00C559AF"/>
    <w:rsid w:val="00C55AD5"/>
    <w:rsid w:val="00C560A3"/>
    <w:rsid w:val="00C56693"/>
    <w:rsid w:val="00C5681D"/>
    <w:rsid w:val="00C568BB"/>
    <w:rsid w:val="00C570B1"/>
    <w:rsid w:val="00C5728A"/>
    <w:rsid w:val="00C57426"/>
    <w:rsid w:val="00C57570"/>
    <w:rsid w:val="00C60A57"/>
    <w:rsid w:val="00C613C8"/>
    <w:rsid w:val="00C61762"/>
    <w:rsid w:val="00C618BF"/>
    <w:rsid w:val="00C618E7"/>
    <w:rsid w:val="00C6191C"/>
    <w:rsid w:val="00C61D7C"/>
    <w:rsid w:val="00C61FF3"/>
    <w:rsid w:val="00C62358"/>
    <w:rsid w:val="00C62B57"/>
    <w:rsid w:val="00C63105"/>
    <w:rsid w:val="00C63C03"/>
    <w:rsid w:val="00C63D11"/>
    <w:rsid w:val="00C6439C"/>
    <w:rsid w:val="00C645AA"/>
    <w:rsid w:val="00C6496A"/>
    <w:rsid w:val="00C64B90"/>
    <w:rsid w:val="00C64C0C"/>
    <w:rsid w:val="00C64EC1"/>
    <w:rsid w:val="00C65317"/>
    <w:rsid w:val="00C65469"/>
    <w:rsid w:val="00C65816"/>
    <w:rsid w:val="00C65E98"/>
    <w:rsid w:val="00C65FE6"/>
    <w:rsid w:val="00C66081"/>
    <w:rsid w:val="00C67044"/>
    <w:rsid w:val="00C6715F"/>
    <w:rsid w:val="00C678AB"/>
    <w:rsid w:val="00C679C0"/>
    <w:rsid w:val="00C70310"/>
    <w:rsid w:val="00C70EE3"/>
    <w:rsid w:val="00C712C3"/>
    <w:rsid w:val="00C72090"/>
    <w:rsid w:val="00C72942"/>
    <w:rsid w:val="00C73462"/>
    <w:rsid w:val="00C73AFD"/>
    <w:rsid w:val="00C74206"/>
    <w:rsid w:val="00C7431A"/>
    <w:rsid w:val="00C74396"/>
    <w:rsid w:val="00C748F7"/>
    <w:rsid w:val="00C74946"/>
    <w:rsid w:val="00C74BBC"/>
    <w:rsid w:val="00C76883"/>
    <w:rsid w:val="00C769A8"/>
    <w:rsid w:val="00C7736D"/>
    <w:rsid w:val="00C77937"/>
    <w:rsid w:val="00C800AA"/>
    <w:rsid w:val="00C80794"/>
    <w:rsid w:val="00C8089C"/>
    <w:rsid w:val="00C80F1D"/>
    <w:rsid w:val="00C8175C"/>
    <w:rsid w:val="00C81A1A"/>
    <w:rsid w:val="00C81EAF"/>
    <w:rsid w:val="00C82340"/>
    <w:rsid w:val="00C825D9"/>
    <w:rsid w:val="00C826F7"/>
    <w:rsid w:val="00C82793"/>
    <w:rsid w:val="00C82803"/>
    <w:rsid w:val="00C82A25"/>
    <w:rsid w:val="00C8317B"/>
    <w:rsid w:val="00C83AFF"/>
    <w:rsid w:val="00C83D88"/>
    <w:rsid w:val="00C84093"/>
    <w:rsid w:val="00C85591"/>
    <w:rsid w:val="00C85659"/>
    <w:rsid w:val="00C85DB1"/>
    <w:rsid w:val="00C86D40"/>
    <w:rsid w:val="00C87522"/>
    <w:rsid w:val="00C875A5"/>
    <w:rsid w:val="00C877FF"/>
    <w:rsid w:val="00C87FF1"/>
    <w:rsid w:val="00C909D3"/>
    <w:rsid w:val="00C90D23"/>
    <w:rsid w:val="00C917CC"/>
    <w:rsid w:val="00C921A3"/>
    <w:rsid w:val="00C92629"/>
    <w:rsid w:val="00C929AD"/>
    <w:rsid w:val="00C92B79"/>
    <w:rsid w:val="00C93929"/>
    <w:rsid w:val="00C94306"/>
    <w:rsid w:val="00C94378"/>
    <w:rsid w:val="00C94425"/>
    <w:rsid w:val="00C9442D"/>
    <w:rsid w:val="00C94AA7"/>
    <w:rsid w:val="00C94CFD"/>
    <w:rsid w:val="00C95044"/>
    <w:rsid w:val="00C954CC"/>
    <w:rsid w:val="00C956A7"/>
    <w:rsid w:val="00C9589E"/>
    <w:rsid w:val="00C95BA2"/>
    <w:rsid w:val="00C96223"/>
    <w:rsid w:val="00C96752"/>
    <w:rsid w:val="00C96943"/>
    <w:rsid w:val="00C96D6B"/>
    <w:rsid w:val="00C970EE"/>
    <w:rsid w:val="00C972E0"/>
    <w:rsid w:val="00C97DD6"/>
    <w:rsid w:val="00C97F13"/>
    <w:rsid w:val="00C97F90"/>
    <w:rsid w:val="00CA06CB"/>
    <w:rsid w:val="00CA1827"/>
    <w:rsid w:val="00CA18E1"/>
    <w:rsid w:val="00CA276A"/>
    <w:rsid w:val="00CA2852"/>
    <w:rsid w:val="00CA2894"/>
    <w:rsid w:val="00CA2AF2"/>
    <w:rsid w:val="00CA2F05"/>
    <w:rsid w:val="00CA2F48"/>
    <w:rsid w:val="00CA2FF3"/>
    <w:rsid w:val="00CA3400"/>
    <w:rsid w:val="00CA36D8"/>
    <w:rsid w:val="00CA380C"/>
    <w:rsid w:val="00CA3B28"/>
    <w:rsid w:val="00CA3DC0"/>
    <w:rsid w:val="00CA3E53"/>
    <w:rsid w:val="00CA4676"/>
    <w:rsid w:val="00CA474F"/>
    <w:rsid w:val="00CA4899"/>
    <w:rsid w:val="00CA4C8C"/>
    <w:rsid w:val="00CA5830"/>
    <w:rsid w:val="00CA61AF"/>
    <w:rsid w:val="00CA6675"/>
    <w:rsid w:val="00CA6AAE"/>
    <w:rsid w:val="00CA7090"/>
    <w:rsid w:val="00CA7235"/>
    <w:rsid w:val="00CA7976"/>
    <w:rsid w:val="00CA79B1"/>
    <w:rsid w:val="00CB0510"/>
    <w:rsid w:val="00CB0987"/>
    <w:rsid w:val="00CB0B2D"/>
    <w:rsid w:val="00CB0E87"/>
    <w:rsid w:val="00CB1493"/>
    <w:rsid w:val="00CB14E1"/>
    <w:rsid w:val="00CB1CD9"/>
    <w:rsid w:val="00CB1F66"/>
    <w:rsid w:val="00CB2BA8"/>
    <w:rsid w:val="00CB3119"/>
    <w:rsid w:val="00CB3125"/>
    <w:rsid w:val="00CB319F"/>
    <w:rsid w:val="00CB3614"/>
    <w:rsid w:val="00CB3685"/>
    <w:rsid w:val="00CB4288"/>
    <w:rsid w:val="00CB452C"/>
    <w:rsid w:val="00CB4AC9"/>
    <w:rsid w:val="00CB4C02"/>
    <w:rsid w:val="00CB4DC8"/>
    <w:rsid w:val="00CB559C"/>
    <w:rsid w:val="00CB55B4"/>
    <w:rsid w:val="00CB5A0C"/>
    <w:rsid w:val="00CB61F7"/>
    <w:rsid w:val="00CB6395"/>
    <w:rsid w:val="00CB674E"/>
    <w:rsid w:val="00CB6783"/>
    <w:rsid w:val="00CB6D05"/>
    <w:rsid w:val="00CB785A"/>
    <w:rsid w:val="00CB797D"/>
    <w:rsid w:val="00CB7AE5"/>
    <w:rsid w:val="00CB7B8D"/>
    <w:rsid w:val="00CC0174"/>
    <w:rsid w:val="00CC0551"/>
    <w:rsid w:val="00CC0646"/>
    <w:rsid w:val="00CC1521"/>
    <w:rsid w:val="00CC1656"/>
    <w:rsid w:val="00CC1E83"/>
    <w:rsid w:val="00CC26B0"/>
    <w:rsid w:val="00CC2D47"/>
    <w:rsid w:val="00CC397F"/>
    <w:rsid w:val="00CC501A"/>
    <w:rsid w:val="00CC5164"/>
    <w:rsid w:val="00CC52C5"/>
    <w:rsid w:val="00CC53A5"/>
    <w:rsid w:val="00CC5870"/>
    <w:rsid w:val="00CC5BA9"/>
    <w:rsid w:val="00CC5D11"/>
    <w:rsid w:val="00CC5DC2"/>
    <w:rsid w:val="00CC61C2"/>
    <w:rsid w:val="00CC687B"/>
    <w:rsid w:val="00CC6B97"/>
    <w:rsid w:val="00CC7357"/>
    <w:rsid w:val="00CC73BE"/>
    <w:rsid w:val="00CC7E87"/>
    <w:rsid w:val="00CD000D"/>
    <w:rsid w:val="00CD00C1"/>
    <w:rsid w:val="00CD0CE6"/>
    <w:rsid w:val="00CD105A"/>
    <w:rsid w:val="00CD138F"/>
    <w:rsid w:val="00CD1407"/>
    <w:rsid w:val="00CD154A"/>
    <w:rsid w:val="00CD180E"/>
    <w:rsid w:val="00CD198C"/>
    <w:rsid w:val="00CD1E76"/>
    <w:rsid w:val="00CD2E26"/>
    <w:rsid w:val="00CD2E7F"/>
    <w:rsid w:val="00CD38BC"/>
    <w:rsid w:val="00CD38D8"/>
    <w:rsid w:val="00CD38DF"/>
    <w:rsid w:val="00CD39FC"/>
    <w:rsid w:val="00CD3DFA"/>
    <w:rsid w:val="00CD4121"/>
    <w:rsid w:val="00CD45AC"/>
    <w:rsid w:val="00CD45D1"/>
    <w:rsid w:val="00CD4648"/>
    <w:rsid w:val="00CD46A5"/>
    <w:rsid w:val="00CD48CE"/>
    <w:rsid w:val="00CD4CC2"/>
    <w:rsid w:val="00CD519C"/>
    <w:rsid w:val="00CD5499"/>
    <w:rsid w:val="00CD5ED7"/>
    <w:rsid w:val="00CD5F66"/>
    <w:rsid w:val="00CD6CBF"/>
    <w:rsid w:val="00CD7758"/>
    <w:rsid w:val="00CD7839"/>
    <w:rsid w:val="00CE0041"/>
    <w:rsid w:val="00CE0804"/>
    <w:rsid w:val="00CE0F08"/>
    <w:rsid w:val="00CE151B"/>
    <w:rsid w:val="00CE1A36"/>
    <w:rsid w:val="00CE238F"/>
    <w:rsid w:val="00CE23C3"/>
    <w:rsid w:val="00CE24F5"/>
    <w:rsid w:val="00CE280F"/>
    <w:rsid w:val="00CE2986"/>
    <w:rsid w:val="00CE2EE6"/>
    <w:rsid w:val="00CE332A"/>
    <w:rsid w:val="00CE397B"/>
    <w:rsid w:val="00CE3ED9"/>
    <w:rsid w:val="00CE4CA1"/>
    <w:rsid w:val="00CE4ED3"/>
    <w:rsid w:val="00CE4F76"/>
    <w:rsid w:val="00CE627A"/>
    <w:rsid w:val="00CE65C8"/>
    <w:rsid w:val="00CE6CAA"/>
    <w:rsid w:val="00CE6E9D"/>
    <w:rsid w:val="00CE7234"/>
    <w:rsid w:val="00CE7C8A"/>
    <w:rsid w:val="00CF092A"/>
    <w:rsid w:val="00CF0C35"/>
    <w:rsid w:val="00CF12E2"/>
    <w:rsid w:val="00CF1977"/>
    <w:rsid w:val="00CF2F13"/>
    <w:rsid w:val="00CF3072"/>
    <w:rsid w:val="00CF3855"/>
    <w:rsid w:val="00CF40E9"/>
    <w:rsid w:val="00CF493B"/>
    <w:rsid w:val="00CF4A4D"/>
    <w:rsid w:val="00CF4B27"/>
    <w:rsid w:val="00CF5773"/>
    <w:rsid w:val="00CF57C5"/>
    <w:rsid w:val="00CF62B7"/>
    <w:rsid w:val="00CF6314"/>
    <w:rsid w:val="00CF6503"/>
    <w:rsid w:val="00CF65F9"/>
    <w:rsid w:val="00CF67F8"/>
    <w:rsid w:val="00CF6C0C"/>
    <w:rsid w:val="00CF71F2"/>
    <w:rsid w:val="00CF78B0"/>
    <w:rsid w:val="00CF7A2A"/>
    <w:rsid w:val="00CF7B01"/>
    <w:rsid w:val="00CF7CF2"/>
    <w:rsid w:val="00D0005B"/>
    <w:rsid w:val="00D00347"/>
    <w:rsid w:val="00D00517"/>
    <w:rsid w:val="00D00CDD"/>
    <w:rsid w:val="00D0101C"/>
    <w:rsid w:val="00D018A6"/>
    <w:rsid w:val="00D018C7"/>
    <w:rsid w:val="00D019F7"/>
    <w:rsid w:val="00D01E2C"/>
    <w:rsid w:val="00D02797"/>
    <w:rsid w:val="00D0280F"/>
    <w:rsid w:val="00D02A6A"/>
    <w:rsid w:val="00D02C9C"/>
    <w:rsid w:val="00D0306C"/>
    <w:rsid w:val="00D03E00"/>
    <w:rsid w:val="00D047BA"/>
    <w:rsid w:val="00D0491F"/>
    <w:rsid w:val="00D0529B"/>
    <w:rsid w:val="00D05D7A"/>
    <w:rsid w:val="00D05FC2"/>
    <w:rsid w:val="00D060DE"/>
    <w:rsid w:val="00D0658F"/>
    <w:rsid w:val="00D06DAC"/>
    <w:rsid w:val="00D073B6"/>
    <w:rsid w:val="00D0787E"/>
    <w:rsid w:val="00D07E18"/>
    <w:rsid w:val="00D1003E"/>
    <w:rsid w:val="00D10D17"/>
    <w:rsid w:val="00D114FB"/>
    <w:rsid w:val="00D11675"/>
    <w:rsid w:val="00D117CD"/>
    <w:rsid w:val="00D11A1E"/>
    <w:rsid w:val="00D11B82"/>
    <w:rsid w:val="00D11FB9"/>
    <w:rsid w:val="00D12317"/>
    <w:rsid w:val="00D12949"/>
    <w:rsid w:val="00D12AC3"/>
    <w:rsid w:val="00D12B61"/>
    <w:rsid w:val="00D130DF"/>
    <w:rsid w:val="00D131E0"/>
    <w:rsid w:val="00D14E65"/>
    <w:rsid w:val="00D150E2"/>
    <w:rsid w:val="00D1593A"/>
    <w:rsid w:val="00D16A54"/>
    <w:rsid w:val="00D16D40"/>
    <w:rsid w:val="00D16E01"/>
    <w:rsid w:val="00D17002"/>
    <w:rsid w:val="00D17BDB"/>
    <w:rsid w:val="00D20332"/>
    <w:rsid w:val="00D20352"/>
    <w:rsid w:val="00D20695"/>
    <w:rsid w:val="00D206F6"/>
    <w:rsid w:val="00D207D2"/>
    <w:rsid w:val="00D207EB"/>
    <w:rsid w:val="00D20870"/>
    <w:rsid w:val="00D21332"/>
    <w:rsid w:val="00D214D0"/>
    <w:rsid w:val="00D222AC"/>
    <w:rsid w:val="00D22D4B"/>
    <w:rsid w:val="00D234B6"/>
    <w:rsid w:val="00D2451D"/>
    <w:rsid w:val="00D248B3"/>
    <w:rsid w:val="00D24DAC"/>
    <w:rsid w:val="00D25242"/>
    <w:rsid w:val="00D2594A"/>
    <w:rsid w:val="00D26995"/>
    <w:rsid w:val="00D26A30"/>
    <w:rsid w:val="00D26A84"/>
    <w:rsid w:val="00D2741A"/>
    <w:rsid w:val="00D27458"/>
    <w:rsid w:val="00D274D4"/>
    <w:rsid w:val="00D27B69"/>
    <w:rsid w:val="00D27C8A"/>
    <w:rsid w:val="00D27ED6"/>
    <w:rsid w:val="00D30204"/>
    <w:rsid w:val="00D302B7"/>
    <w:rsid w:val="00D307F2"/>
    <w:rsid w:val="00D31459"/>
    <w:rsid w:val="00D31C0E"/>
    <w:rsid w:val="00D31D54"/>
    <w:rsid w:val="00D32487"/>
    <w:rsid w:val="00D32A8E"/>
    <w:rsid w:val="00D32BBE"/>
    <w:rsid w:val="00D32E09"/>
    <w:rsid w:val="00D335FC"/>
    <w:rsid w:val="00D33831"/>
    <w:rsid w:val="00D33E69"/>
    <w:rsid w:val="00D33EA2"/>
    <w:rsid w:val="00D34247"/>
    <w:rsid w:val="00D34323"/>
    <w:rsid w:val="00D345E7"/>
    <w:rsid w:val="00D34983"/>
    <w:rsid w:val="00D34B19"/>
    <w:rsid w:val="00D34B57"/>
    <w:rsid w:val="00D34D4D"/>
    <w:rsid w:val="00D3529F"/>
    <w:rsid w:val="00D355DF"/>
    <w:rsid w:val="00D357B0"/>
    <w:rsid w:val="00D358C9"/>
    <w:rsid w:val="00D365FA"/>
    <w:rsid w:val="00D4015F"/>
    <w:rsid w:val="00D40294"/>
    <w:rsid w:val="00D403EA"/>
    <w:rsid w:val="00D40B42"/>
    <w:rsid w:val="00D40CD2"/>
    <w:rsid w:val="00D40F94"/>
    <w:rsid w:val="00D412B4"/>
    <w:rsid w:val="00D41489"/>
    <w:rsid w:val="00D4163C"/>
    <w:rsid w:val="00D419D2"/>
    <w:rsid w:val="00D41F47"/>
    <w:rsid w:val="00D4201D"/>
    <w:rsid w:val="00D423C0"/>
    <w:rsid w:val="00D424B0"/>
    <w:rsid w:val="00D42751"/>
    <w:rsid w:val="00D4294F"/>
    <w:rsid w:val="00D42A6B"/>
    <w:rsid w:val="00D42E20"/>
    <w:rsid w:val="00D42E29"/>
    <w:rsid w:val="00D4305E"/>
    <w:rsid w:val="00D43074"/>
    <w:rsid w:val="00D430C4"/>
    <w:rsid w:val="00D43C26"/>
    <w:rsid w:val="00D43F58"/>
    <w:rsid w:val="00D4416C"/>
    <w:rsid w:val="00D445C2"/>
    <w:rsid w:val="00D44FC7"/>
    <w:rsid w:val="00D455C7"/>
    <w:rsid w:val="00D46310"/>
    <w:rsid w:val="00D46F90"/>
    <w:rsid w:val="00D50099"/>
    <w:rsid w:val="00D502A2"/>
    <w:rsid w:val="00D50B81"/>
    <w:rsid w:val="00D51E87"/>
    <w:rsid w:val="00D52165"/>
    <w:rsid w:val="00D523EC"/>
    <w:rsid w:val="00D52E43"/>
    <w:rsid w:val="00D531D9"/>
    <w:rsid w:val="00D537FC"/>
    <w:rsid w:val="00D53C43"/>
    <w:rsid w:val="00D54549"/>
    <w:rsid w:val="00D54EE2"/>
    <w:rsid w:val="00D55BDA"/>
    <w:rsid w:val="00D560CE"/>
    <w:rsid w:val="00D561C7"/>
    <w:rsid w:val="00D56335"/>
    <w:rsid w:val="00D56795"/>
    <w:rsid w:val="00D56A07"/>
    <w:rsid w:val="00D5715C"/>
    <w:rsid w:val="00D60BDD"/>
    <w:rsid w:val="00D61155"/>
    <w:rsid w:val="00D61382"/>
    <w:rsid w:val="00D613F4"/>
    <w:rsid w:val="00D61DEF"/>
    <w:rsid w:val="00D621DF"/>
    <w:rsid w:val="00D624EA"/>
    <w:rsid w:val="00D62D9B"/>
    <w:rsid w:val="00D63790"/>
    <w:rsid w:val="00D6390C"/>
    <w:rsid w:val="00D63A66"/>
    <w:rsid w:val="00D6434E"/>
    <w:rsid w:val="00D643F0"/>
    <w:rsid w:val="00D644C5"/>
    <w:rsid w:val="00D645E3"/>
    <w:rsid w:val="00D646AF"/>
    <w:rsid w:val="00D65051"/>
    <w:rsid w:val="00D65561"/>
    <w:rsid w:val="00D65613"/>
    <w:rsid w:val="00D65C76"/>
    <w:rsid w:val="00D6603C"/>
    <w:rsid w:val="00D6694B"/>
    <w:rsid w:val="00D66CC3"/>
    <w:rsid w:val="00D66E1A"/>
    <w:rsid w:val="00D6758A"/>
    <w:rsid w:val="00D67879"/>
    <w:rsid w:val="00D67BBB"/>
    <w:rsid w:val="00D67E07"/>
    <w:rsid w:val="00D67FB5"/>
    <w:rsid w:val="00D7001B"/>
    <w:rsid w:val="00D7020C"/>
    <w:rsid w:val="00D70692"/>
    <w:rsid w:val="00D70F9E"/>
    <w:rsid w:val="00D716D3"/>
    <w:rsid w:val="00D71702"/>
    <w:rsid w:val="00D73063"/>
    <w:rsid w:val="00D735FE"/>
    <w:rsid w:val="00D73B60"/>
    <w:rsid w:val="00D73C51"/>
    <w:rsid w:val="00D73C6C"/>
    <w:rsid w:val="00D73D24"/>
    <w:rsid w:val="00D73F20"/>
    <w:rsid w:val="00D74B9D"/>
    <w:rsid w:val="00D752EA"/>
    <w:rsid w:val="00D7548A"/>
    <w:rsid w:val="00D75633"/>
    <w:rsid w:val="00D7584C"/>
    <w:rsid w:val="00D75E17"/>
    <w:rsid w:val="00D777AD"/>
    <w:rsid w:val="00D77CB9"/>
    <w:rsid w:val="00D77D36"/>
    <w:rsid w:val="00D8013F"/>
    <w:rsid w:val="00D80872"/>
    <w:rsid w:val="00D80955"/>
    <w:rsid w:val="00D80A32"/>
    <w:rsid w:val="00D80CC7"/>
    <w:rsid w:val="00D80F4F"/>
    <w:rsid w:val="00D81337"/>
    <w:rsid w:val="00D82B88"/>
    <w:rsid w:val="00D82F1E"/>
    <w:rsid w:val="00D830F6"/>
    <w:rsid w:val="00D83141"/>
    <w:rsid w:val="00D83A31"/>
    <w:rsid w:val="00D84060"/>
    <w:rsid w:val="00D841BC"/>
    <w:rsid w:val="00D84231"/>
    <w:rsid w:val="00D84922"/>
    <w:rsid w:val="00D84F37"/>
    <w:rsid w:val="00D850B6"/>
    <w:rsid w:val="00D85151"/>
    <w:rsid w:val="00D86CF4"/>
    <w:rsid w:val="00D87070"/>
    <w:rsid w:val="00D9087D"/>
    <w:rsid w:val="00D90A32"/>
    <w:rsid w:val="00D90AF1"/>
    <w:rsid w:val="00D916EE"/>
    <w:rsid w:val="00D91824"/>
    <w:rsid w:val="00D91A00"/>
    <w:rsid w:val="00D91F1E"/>
    <w:rsid w:val="00D92202"/>
    <w:rsid w:val="00D926F3"/>
    <w:rsid w:val="00D92833"/>
    <w:rsid w:val="00D92D1A"/>
    <w:rsid w:val="00D93B94"/>
    <w:rsid w:val="00D93D64"/>
    <w:rsid w:val="00D93EC7"/>
    <w:rsid w:val="00D948FF"/>
    <w:rsid w:val="00D94A2F"/>
    <w:rsid w:val="00D94D45"/>
    <w:rsid w:val="00D954C5"/>
    <w:rsid w:val="00D95582"/>
    <w:rsid w:val="00D955D5"/>
    <w:rsid w:val="00D95797"/>
    <w:rsid w:val="00D95E28"/>
    <w:rsid w:val="00D962E6"/>
    <w:rsid w:val="00D9650D"/>
    <w:rsid w:val="00D9692F"/>
    <w:rsid w:val="00D9769B"/>
    <w:rsid w:val="00D97A12"/>
    <w:rsid w:val="00DA08D8"/>
    <w:rsid w:val="00DA0B86"/>
    <w:rsid w:val="00DA1243"/>
    <w:rsid w:val="00DA1544"/>
    <w:rsid w:val="00DA1556"/>
    <w:rsid w:val="00DA1A1F"/>
    <w:rsid w:val="00DA1BD8"/>
    <w:rsid w:val="00DA1CF7"/>
    <w:rsid w:val="00DA2146"/>
    <w:rsid w:val="00DA24A9"/>
    <w:rsid w:val="00DA2A47"/>
    <w:rsid w:val="00DA307A"/>
    <w:rsid w:val="00DA338D"/>
    <w:rsid w:val="00DA355A"/>
    <w:rsid w:val="00DA3A04"/>
    <w:rsid w:val="00DA3DD7"/>
    <w:rsid w:val="00DA4453"/>
    <w:rsid w:val="00DA47D2"/>
    <w:rsid w:val="00DA4B38"/>
    <w:rsid w:val="00DA4BE0"/>
    <w:rsid w:val="00DA5207"/>
    <w:rsid w:val="00DA5887"/>
    <w:rsid w:val="00DA5B72"/>
    <w:rsid w:val="00DA5C79"/>
    <w:rsid w:val="00DA62B5"/>
    <w:rsid w:val="00DA6334"/>
    <w:rsid w:val="00DA6E93"/>
    <w:rsid w:val="00DA7CB0"/>
    <w:rsid w:val="00DB0808"/>
    <w:rsid w:val="00DB09A8"/>
    <w:rsid w:val="00DB0DFD"/>
    <w:rsid w:val="00DB0F07"/>
    <w:rsid w:val="00DB10C6"/>
    <w:rsid w:val="00DB127E"/>
    <w:rsid w:val="00DB1664"/>
    <w:rsid w:val="00DB1745"/>
    <w:rsid w:val="00DB1A5B"/>
    <w:rsid w:val="00DB1AAD"/>
    <w:rsid w:val="00DB1AC6"/>
    <w:rsid w:val="00DB1FED"/>
    <w:rsid w:val="00DB249D"/>
    <w:rsid w:val="00DB2E80"/>
    <w:rsid w:val="00DB3130"/>
    <w:rsid w:val="00DB340B"/>
    <w:rsid w:val="00DB370B"/>
    <w:rsid w:val="00DB392F"/>
    <w:rsid w:val="00DB44F7"/>
    <w:rsid w:val="00DB4D5E"/>
    <w:rsid w:val="00DB5C55"/>
    <w:rsid w:val="00DB643F"/>
    <w:rsid w:val="00DB6F11"/>
    <w:rsid w:val="00DB70AA"/>
    <w:rsid w:val="00DB723D"/>
    <w:rsid w:val="00DB73C5"/>
    <w:rsid w:val="00DB7C16"/>
    <w:rsid w:val="00DC001A"/>
    <w:rsid w:val="00DC07CF"/>
    <w:rsid w:val="00DC0A1D"/>
    <w:rsid w:val="00DC0F89"/>
    <w:rsid w:val="00DC1604"/>
    <w:rsid w:val="00DC1768"/>
    <w:rsid w:val="00DC213D"/>
    <w:rsid w:val="00DC236B"/>
    <w:rsid w:val="00DC2467"/>
    <w:rsid w:val="00DC28FE"/>
    <w:rsid w:val="00DC2A34"/>
    <w:rsid w:val="00DC2CC2"/>
    <w:rsid w:val="00DC36FE"/>
    <w:rsid w:val="00DC37A2"/>
    <w:rsid w:val="00DC3ECA"/>
    <w:rsid w:val="00DC4259"/>
    <w:rsid w:val="00DC458B"/>
    <w:rsid w:val="00DC49E6"/>
    <w:rsid w:val="00DC4EFE"/>
    <w:rsid w:val="00DC5055"/>
    <w:rsid w:val="00DC51F2"/>
    <w:rsid w:val="00DC54A7"/>
    <w:rsid w:val="00DC578B"/>
    <w:rsid w:val="00DC6907"/>
    <w:rsid w:val="00DC6E7A"/>
    <w:rsid w:val="00DC7054"/>
    <w:rsid w:val="00DC72FE"/>
    <w:rsid w:val="00DC76AD"/>
    <w:rsid w:val="00DC7A70"/>
    <w:rsid w:val="00DC7BAF"/>
    <w:rsid w:val="00DC7ECB"/>
    <w:rsid w:val="00DD03A7"/>
    <w:rsid w:val="00DD04D3"/>
    <w:rsid w:val="00DD1505"/>
    <w:rsid w:val="00DD1575"/>
    <w:rsid w:val="00DD1A8E"/>
    <w:rsid w:val="00DD251F"/>
    <w:rsid w:val="00DD265B"/>
    <w:rsid w:val="00DD31A2"/>
    <w:rsid w:val="00DD3568"/>
    <w:rsid w:val="00DD3A8B"/>
    <w:rsid w:val="00DD3BD4"/>
    <w:rsid w:val="00DD45FD"/>
    <w:rsid w:val="00DD4EC8"/>
    <w:rsid w:val="00DD511C"/>
    <w:rsid w:val="00DD5690"/>
    <w:rsid w:val="00DD5FA6"/>
    <w:rsid w:val="00DD6A42"/>
    <w:rsid w:val="00DD6FAF"/>
    <w:rsid w:val="00DE0423"/>
    <w:rsid w:val="00DE0884"/>
    <w:rsid w:val="00DE089B"/>
    <w:rsid w:val="00DE0F64"/>
    <w:rsid w:val="00DE1012"/>
    <w:rsid w:val="00DE1083"/>
    <w:rsid w:val="00DE12D7"/>
    <w:rsid w:val="00DE1554"/>
    <w:rsid w:val="00DE1E83"/>
    <w:rsid w:val="00DE32F4"/>
    <w:rsid w:val="00DE3614"/>
    <w:rsid w:val="00DE3A90"/>
    <w:rsid w:val="00DE3CD9"/>
    <w:rsid w:val="00DE4C91"/>
    <w:rsid w:val="00DE5AD5"/>
    <w:rsid w:val="00DE61EE"/>
    <w:rsid w:val="00DE6E26"/>
    <w:rsid w:val="00DE700E"/>
    <w:rsid w:val="00DE7E35"/>
    <w:rsid w:val="00DF0A80"/>
    <w:rsid w:val="00DF0B38"/>
    <w:rsid w:val="00DF0B8E"/>
    <w:rsid w:val="00DF0E0D"/>
    <w:rsid w:val="00DF1015"/>
    <w:rsid w:val="00DF1132"/>
    <w:rsid w:val="00DF1305"/>
    <w:rsid w:val="00DF14E0"/>
    <w:rsid w:val="00DF174F"/>
    <w:rsid w:val="00DF19C9"/>
    <w:rsid w:val="00DF1D4C"/>
    <w:rsid w:val="00DF1D5C"/>
    <w:rsid w:val="00DF26C7"/>
    <w:rsid w:val="00DF27F7"/>
    <w:rsid w:val="00DF34D4"/>
    <w:rsid w:val="00DF3674"/>
    <w:rsid w:val="00DF3B59"/>
    <w:rsid w:val="00DF3DB5"/>
    <w:rsid w:val="00DF3E7C"/>
    <w:rsid w:val="00DF42EE"/>
    <w:rsid w:val="00DF4A2D"/>
    <w:rsid w:val="00DF52E2"/>
    <w:rsid w:val="00DF5469"/>
    <w:rsid w:val="00DF6A79"/>
    <w:rsid w:val="00DF77B3"/>
    <w:rsid w:val="00DF7F77"/>
    <w:rsid w:val="00E00577"/>
    <w:rsid w:val="00E009A1"/>
    <w:rsid w:val="00E00E4A"/>
    <w:rsid w:val="00E018FA"/>
    <w:rsid w:val="00E01CC7"/>
    <w:rsid w:val="00E01D4D"/>
    <w:rsid w:val="00E023A5"/>
    <w:rsid w:val="00E0295B"/>
    <w:rsid w:val="00E033BA"/>
    <w:rsid w:val="00E037DB"/>
    <w:rsid w:val="00E03C8E"/>
    <w:rsid w:val="00E03CF6"/>
    <w:rsid w:val="00E03E19"/>
    <w:rsid w:val="00E041CA"/>
    <w:rsid w:val="00E045D9"/>
    <w:rsid w:val="00E04CD3"/>
    <w:rsid w:val="00E05366"/>
    <w:rsid w:val="00E060B5"/>
    <w:rsid w:val="00E06250"/>
    <w:rsid w:val="00E0638A"/>
    <w:rsid w:val="00E063AF"/>
    <w:rsid w:val="00E068B0"/>
    <w:rsid w:val="00E0692A"/>
    <w:rsid w:val="00E06985"/>
    <w:rsid w:val="00E06D1A"/>
    <w:rsid w:val="00E06FE4"/>
    <w:rsid w:val="00E0722D"/>
    <w:rsid w:val="00E078DA"/>
    <w:rsid w:val="00E07A08"/>
    <w:rsid w:val="00E1090D"/>
    <w:rsid w:val="00E1092B"/>
    <w:rsid w:val="00E10A4D"/>
    <w:rsid w:val="00E10BB4"/>
    <w:rsid w:val="00E10C82"/>
    <w:rsid w:val="00E11F40"/>
    <w:rsid w:val="00E127D9"/>
    <w:rsid w:val="00E12897"/>
    <w:rsid w:val="00E12E54"/>
    <w:rsid w:val="00E1338C"/>
    <w:rsid w:val="00E13757"/>
    <w:rsid w:val="00E14CAA"/>
    <w:rsid w:val="00E14E1D"/>
    <w:rsid w:val="00E14F56"/>
    <w:rsid w:val="00E15B51"/>
    <w:rsid w:val="00E15C8C"/>
    <w:rsid w:val="00E163D9"/>
    <w:rsid w:val="00E168A0"/>
    <w:rsid w:val="00E16BE1"/>
    <w:rsid w:val="00E17109"/>
    <w:rsid w:val="00E17220"/>
    <w:rsid w:val="00E172A5"/>
    <w:rsid w:val="00E17324"/>
    <w:rsid w:val="00E1751D"/>
    <w:rsid w:val="00E1770B"/>
    <w:rsid w:val="00E17D18"/>
    <w:rsid w:val="00E20D4D"/>
    <w:rsid w:val="00E21B05"/>
    <w:rsid w:val="00E22D04"/>
    <w:rsid w:val="00E2337E"/>
    <w:rsid w:val="00E23621"/>
    <w:rsid w:val="00E238A5"/>
    <w:rsid w:val="00E2420C"/>
    <w:rsid w:val="00E24E45"/>
    <w:rsid w:val="00E2560F"/>
    <w:rsid w:val="00E26187"/>
    <w:rsid w:val="00E26F0E"/>
    <w:rsid w:val="00E27183"/>
    <w:rsid w:val="00E2754D"/>
    <w:rsid w:val="00E27CE5"/>
    <w:rsid w:val="00E27DA5"/>
    <w:rsid w:val="00E30096"/>
    <w:rsid w:val="00E30218"/>
    <w:rsid w:val="00E30658"/>
    <w:rsid w:val="00E308D4"/>
    <w:rsid w:val="00E30BFD"/>
    <w:rsid w:val="00E3139B"/>
    <w:rsid w:val="00E315A2"/>
    <w:rsid w:val="00E32241"/>
    <w:rsid w:val="00E32806"/>
    <w:rsid w:val="00E32932"/>
    <w:rsid w:val="00E32D82"/>
    <w:rsid w:val="00E3326D"/>
    <w:rsid w:val="00E335DA"/>
    <w:rsid w:val="00E33ADA"/>
    <w:rsid w:val="00E33BC3"/>
    <w:rsid w:val="00E34B1B"/>
    <w:rsid w:val="00E350AE"/>
    <w:rsid w:val="00E357C4"/>
    <w:rsid w:val="00E36736"/>
    <w:rsid w:val="00E36B4A"/>
    <w:rsid w:val="00E3713E"/>
    <w:rsid w:val="00E37696"/>
    <w:rsid w:val="00E37773"/>
    <w:rsid w:val="00E37927"/>
    <w:rsid w:val="00E37EF6"/>
    <w:rsid w:val="00E403DB"/>
    <w:rsid w:val="00E40DE1"/>
    <w:rsid w:val="00E41DE0"/>
    <w:rsid w:val="00E41E05"/>
    <w:rsid w:val="00E427CA"/>
    <w:rsid w:val="00E42F14"/>
    <w:rsid w:val="00E42F24"/>
    <w:rsid w:val="00E433A3"/>
    <w:rsid w:val="00E43499"/>
    <w:rsid w:val="00E43EC4"/>
    <w:rsid w:val="00E442A5"/>
    <w:rsid w:val="00E445C9"/>
    <w:rsid w:val="00E44CB2"/>
    <w:rsid w:val="00E453EF"/>
    <w:rsid w:val="00E454D7"/>
    <w:rsid w:val="00E456C1"/>
    <w:rsid w:val="00E45861"/>
    <w:rsid w:val="00E4606B"/>
    <w:rsid w:val="00E463BE"/>
    <w:rsid w:val="00E46528"/>
    <w:rsid w:val="00E4672C"/>
    <w:rsid w:val="00E468F6"/>
    <w:rsid w:val="00E46C08"/>
    <w:rsid w:val="00E472EF"/>
    <w:rsid w:val="00E47304"/>
    <w:rsid w:val="00E475AE"/>
    <w:rsid w:val="00E47691"/>
    <w:rsid w:val="00E476AC"/>
    <w:rsid w:val="00E4781D"/>
    <w:rsid w:val="00E47B86"/>
    <w:rsid w:val="00E47E40"/>
    <w:rsid w:val="00E50868"/>
    <w:rsid w:val="00E50971"/>
    <w:rsid w:val="00E51418"/>
    <w:rsid w:val="00E51459"/>
    <w:rsid w:val="00E516D3"/>
    <w:rsid w:val="00E53059"/>
    <w:rsid w:val="00E53502"/>
    <w:rsid w:val="00E53BA8"/>
    <w:rsid w:val="00E5413A"/>
    <w:rsid w:val="00E54211"/>
    <w:rsid w:val="00E54633"/>
    <w:rsid w:val="00E54DDA"/>
    <w:rsid w:val="00E56335"/>
    <w:rsid w:val="00E564A7"/>
    <w:rsid w:val="00E564B7"/>
    <w:rsid w:val="00E56596"/>
    <w:rsid w:val="00E5686A"/>
    <w:rsid w:val="00E56C7E"/>
    <w:rsid w:val="00E57217"/>
    <w:rsid w:val="00E5776F"/>
    <w:rsid w:val="00E57BB4"/>
    <w:rsid w:val="00E57EF7"/>
    <w:rsid w:val="00E603ED"/>
    <w:rsid w:val="00E60EEA"/>
    <w:rsid w:val="00E6116A"/>
    <w:rsid w:val="00E61D3F"/>
    <w:rsid w:val="00E61D91"/>
    <w:rsid w:val="00E6234F"/>
    <w:rsid w:val="00E62ECA"/>
    <w:rsid w:val="00E63445"/>
    <w:rsid w:val="00E6360B"/>
    <w:rsid w:val="00E638F5"/>
    <w:rsid w:val="00E63FF5"/>
    <w:rsid w:val="00E64251"/>
    <w:rsid w:val="00E6485F"/>
    <w:rsid w:val="00E64876"/>
    <w:rsid w:val="00E649DC"/>
    <w:rsid w:val="00E64EE7"/>
    <w:rsid w:val="00E65964"/>
    <w:rsid w:val="00E66311"/>
    <w:rsid w:val="00E665F3"/>
    <w:rsid w:val="00E66BB2"/>
    <w:rsid w:val="00E673F7"/>
    <w:rsid w:val="00E67FE8"/>
    <w:rsid w:val="00E70366"/>
    <w:rsid w:val="00E706F6"/>
    <w:rsid w:val="00E708C7"/>
    <w:rsid w:val="00E7095E"/>
    <w:rsid w:val="00E7145F"/>
    <w:rsid w:val="00E71977"/>
    <w:rsid w:val="00E719BB"/>
    <w:rsid w:val="00E71A86"/>
    <w:rsid w:val="00E71F6B"/>
    <w:rsid w:val="00E72117"/>
    <w:rsid w:val="00E72A63"/>
    <w:rsid w:val="00E72FB2"/>
    <w:rsid w:val="00E73235"/>
    <w:rsid w:val="00E7372D"/>
    <w:rsid w:val="00E73735"/>
    <w:rsid w:val="00E73CA7"/>
    <w:rsid w:val="00E7439E"/>
    <w:rsid w:val="00E746EA"/>
    <w:rsid w:val="00E74A00"/>
    <w:rsid w:val="00E74ACE"/>
    <w:rsid w:val="00E750F0"/>
    <w:rsid w:val="00E752D5"/>
    <w:rsid w:val="00E75887"/>
    <w:rsid w:val="00E75E03"/>
    <w:rsid w:val="00E76357"/>
    <w:rsid w:val="00E763F3"/>
    <w:rsid w:val="00E76E1F"/>
    <w:rsid w:val="00E76E5D"/>
    <w:rsid w:val="00E7732C"/>
    <w:rsid w:val="00E77509"/>
    <w:rsid w:val="00E77B43"/>
    <w:rsid w:val="00E77CC8"/>
    <w:rsid w:val="00E77EB7"/>
    <w:rsid w:val="00E80E71"/>
    <w:rsid w:val="00E811EE"/>
    <w:rsid w:val="00E811F3"/>
    <w:rsid w:val="00E813AA"/>
    <w:rsid w:val="00E8145A"/>
    <w:rsid w:val="00E817B6"/>
    <w:rsid w:val="00E81A06"/>
    <w:rsid w:val="00E81D6C"/>
    <w:rsid w:val="00E82645"/>
    <w:rsid w:val="00E82E28"/>
    <w:rsid w:val="00E8316D"/>
    <w:rsid w:val="00E831B3"/>
    <w:rsid w:val="00E83CCE"/>
    <w:rsid w:val="00E848C5"/>
    <w:rsid w:val="00E84F59"/>
    <w:rsid w:val="00E85795"/>
    <w:rsid w:val="00E85A7F"/>
    <w:rsid w:val="00E860DA"/>
    <w:rsid w:val="00E86101"/>
    <w:rsid w:val="00E864FD"/>
    <w:rsid w:val="00E86575"/>
    <w:rsid w:val="00E86785"/>
    <w:rsid w:val="00E8681C"/>
    <w:rsid w:val="00E870B5"/>
    <w:rsid w:val="00E870F8"/>
    <w:rsid w:val="00E87AF9"/>
    <w:rsid w:val="00E87D61"/>
    <w:rsid w:val="00E87D87"/>
    <w:rsid w:val="00E901A6"/>
    <w:rsid w:val="00E908C4"/>
    <w:rsid w:val="00E91767"/>
    <w:rsid w:val="00E91B14"/>
    <w:rsid w:val="00E927DC"/>
    <w:rsid w:val="00E928B2"/>
    <w:rsid w:val="00E9349A"/>
    <w:rsid w:val="00E9374C"/>
    <w:rsid w:val="00E939A8"/>
    <w:rsid w:val="00E9427A"/>
    <w:rsid w:val="00E944A0"/>
    <w:rsid w:val="00E94C2F"/>
    <w:rsid w:val="00E94C6D"/>
    <w:rsid w:val="00E950C5"/>
    <w:rsid w:val="00E95350"/>
    <w:rsid w:val="00E957C0"/>
    <w:rsid w:val="00E95955"/>
    <w:rsid w:val="00E9600B"/>
    <w:rsid w:val="00E96865"/>
    <w:rsid w:val="00E968BA"/>
    <w:rsid w:val="00E97713"/>
    <w:rsid w:val="00EA00CE"/>
    <w:rsid w:val="00EA00FA"/>
    <w:rsid w:val="00EA076B"/>
    <w:rsid w:val="00EA0B09"/>
    <w:rsid w:val="00EA1318"/>
    <w:rsid w:val="00EA13B2"/>
    <w:rsid w:val="00EA1714"/>
    <w:rsid w:val="00EA1A06"/>
    <w:rsid w:val="00EA1FAB"/>
    <w:rsid w:val="00EA27A6"/>
    <w:rsid w:val="00EA2D77"/>
    <w:rsid w:val="00EA3E89"/>
    <w:rsid w:val="00EA3F31"/>
    <w:rsid w:val="00EA445F"/>
    <w:rsid w:val="00EA44CE"/>
    <w:rsid w:val="00EA47C7"/>
    <w:rsid w:val="00EA494F"/>
    <w:rsid w:val="00EA519B"/>
    <w:rsid w:val="00EA51DC"/>
    <w:rsid w:val="00EA6E11"/>
    <w:rsid w:val="00EA6EC5"/>
    <w:rsid w:val="00EA755A"/>
    <w:rsid w:val="00EA79FE"/>
    <w:rsid w:val="00EB0B28"/>
    <w:rsid w:val="00EB0DC1"/>
    <w:rsid w:val="00EB0E61"/>
    <w:rsid w:val="00EB0F5B"/>
    <w:rsid w:val="00EB1A31"/>
    <w:rsid w:val="00EB1C8D"/>
    <w:rsid w:val="00EB2FC2"/>
    <w:rsid w:val="00EB3ABF"/>
    <w:rsid w:val="00EB3DA9"/>
    <w:rsid w:val="00EB3E9E"/>
    <w:rsid w:val="00EB40A1"/>
    <w:rsid w:val="00EB46D6"/>
    <w:rsid w:val="00EB4C57"/>
    <w:rsid w:val="00EB4CC2"/>
    <w:rsid w:val="00EB4CEE"/>
    <w:rsid w:val="00EB4F87"/>
    <w:rsid w:val="00EB5549"/>
    <w:rsid w:val="00EB5B21"/>
    <w:rsid w:val="00EB5BC7"/>
    <w:rsid w:val="00EB6932"/>
    <w:rsid w:val="00EB697F"/>
    <w:rsid w:val="00EB6AA5"/>
    <w:rsid w:val="00EB7ADF"/>
    <w:rsid w:val="00EB7CA2"/>
    <w:rsid w:val="00EC00F0"/>
    <w:rsid w:val="00EC0296"/>
    <w:rsid w:val="00EC0695"/>
    <w:rsid w:val="00EC0733"/>
    <w:rsid w:val="00EC0CEF"/>
    <w:rsid w:val="00EC0F17"/>
    <w:rsid w:val="00EC166F"/>
    <w:rsid w:val="00EC1ADC"/>
    <w:rsid w:val="00EC365D"/>
    <w:rsid w:val="00EC5451"/>
    <w:rsid w:val="00EC5FD4"/>
    <w:rsid w:val="00EC65A4"/>
    <w:rsid w:val="00EC69C2"/>
    <w:rsid w:val="00EC7749"/>
    <w:rsid w:val="00ED0070"/>
    <w:rsid w:val="00ED0BAB"/>
    <w:rsid w:val="00ED0F84"/>
    <w:rsid w:val="00ED173B"/>
    <w:rsid w:val="00ED19ED"/>
    <w:rsid w:val="00ED26FB"/>
    <w:rsid w:val="00ED2CF1"/>
    <w:rsid w:val="00ED30A1"/>
    <w:rsid w:val="00ED37FE"/>
    <w:rsid w:val="00ED4408"/>
    <w:rsid w:val="00ED46AC"/>
    <w:rsid w:val="00ED498F"/>
    <w:rsid w:val="00ED6F1C"/>
    <w:rsid w:val="00ED6FA8"/>
    <w:rsid w:val="00ED726A"/>
    <w:rsid w:val="00ED7AD0"/>
    <w:rsid w:val="00EE0B84"/>
    <w:rsid w:val="00EE1039"/>
    <w:rsid w:val="00EE14FF"/>
    <w:rsid w:val="00EE15B6"/>
    <w:rsid w:val="00EE2080"/>
    <w:rsid w:val="00EE246F"/>
    <w:rsid w:val="00EE2F54"/>
    <w:rsid w:val="00EE37A5"/>
    <w:rsid w:val="00EE3C59"/>
    <w:rsid w:val="00EE3E04"/>
    <w:rsid w:val="00EE3F2B"/>
    <w:rsid w:val="00EE46EA"/>
    <w:rsid w:val="00EE4785"/>
    <w:rsid w:val="00EE4C01"/>
    <w:rsid w:val="00EE4DB4"/>
    <w:rsid w:val="00EE52DE"/>
    <w:rsid w:val="00EE55C0"/>
    <w:rsid w:val="00EE595C"/>
    <w:rsid w:val="00EE5EEE"/>
    <w:rsid w:val="00EE669D"/>
    <w:rsid w:val="00EE6AA6"/>
    <w:rsid w:val="00EE6B47"/>
    <w:rsid w:val="00EE7939"/>
    <w:rsid w:val="00EE7976"/>
    <w:rsid w:val="00EF07DE"/>
    <w:rsid w:val="00EF0C9E"/>
    <w:rsid w:val="00EF0E07"/>
    <w:rsid w:val="00EF0E7B"/>
    <w:rsid w:val="00EF0F74"/>
    <w:rsid w:val="00EF141D"/>
    <w:rsid w:val="00EF1A12"/>
    <w:rsid w:val="00EF1F44"/>
    <w:rsid w:val="00EF2032"/>
    <w:rsid w:val="00EF22A7"/>
    <w:rsid w:val="00EF2308"/>
    <w:rsid w:val="00EF23D5"/>
    <w:rsid w:val="00EF2716"/>
    <w:rsid w:val="00EF2CF7"/>
    <w:rsid w:val="00EF30CE"/>
    <w:rsid w:val="00EF338A"/>
    <w:rsid w:val="00EF58A4"/>
    <w:rsid w:val="00EF5A1A"/>
    <w:rsid w:val="00EF5A60"/>
    <w:rsid w:val="00EF5B73"/>
    <w:rsid w:val="00EF5C08"/>
    <w:rsid w:val="00EF63E0"/>
    <w:rsid w:val="00EF6EE9"/>
    <w:rsid w:val="00EF6F56"/>
    <w:rsid w:val="00EF70F9"/>
    <w:rsid w:val="00EF746B"/>
    <w:rsid w:val="00EF75E7"/>
    <w:rsid w:val="00EF7913"/>
    <w:rsid w:val="00EF7A0F"/>
    <w:rsid w:val="00F000FD"/>
    <w:rsid w:val="00F004ED"/>
    <w:rsid w:val="00F0093B"/>
    <w:rsid w:val="00F00D03"/>
    <w:rsid w:val="00F00F49"/>
    <w:rsid w:val="00F0120F"/>
    <w:rsid w:val="00F01D04"/>
    <w:rsid w:val="00F02170"/>
    <w:rsid w:val="00F02462"/>
    <w:rsid w:val="00F02798"/>
    <w:rsid w:val="00F027DD"/>
    <w:rsid w:val="00F02C58"/>
    <w:rsid w:val="00F03495"/>
    <w:rsid w:val="00F036D8"/>
    <w:rsid w:val="00F04035"/>
    <w:rsid w:val="00F044B8"/>
    <w:rsid w:val="00F046CF"/>
    <w:rsid w:val="00F0492A"/>
    <w:rsid w:val="00F04DA5"/>
    <w:rsid w:val="00F04F7D"/>
    <w:rsid w:val="00F05173"/>
    <w:rsid w:val="00F053BD"/>
    <w:rsid w:val="00F0631A"/>
    <w:rsid w:val="00F06851"/>
    <w:rsid w:val="00F069E1"/>
    <w:rsid w:val="00F06ACE"/>
    <w:rsid w:val="00F0754D"/>
    <w:rsid w:val="00F10048"/>
    <w:rsid w:val="00F10386"/>
    <w:rsid w:val="00F10572"/>
    <w:rsid w:val="00F10A9E"/>
    <w:rsid w:val="00F10E56"/>
    <w:rsid w:val="00F1115E"/>
    <w:rsid w:val="00F11DD1"/>
    <w:rsid w:val="00F12239"/>
    <w:rsid w:val="00F12312"/>
    <w:rsid w:val="00F12394"/>
    <w:rsid w:val="00F1254A"/>
    <w:rsid w:val="00F128F0"/>
    <w:rsid w:val="00F12EB7"/>
    <w:rsid w:val="00F12F5A"/>
    <w:rsid w:val="00F132A2"/>
    <w:rsid w:val="00F13429"/>
    <w:rsid w:val="00F13468"/>
    <w:rsid w:val="00F1348E"/>
    <w:rsid w:val="00F13BC1"/>
    <w:rsid w:val="00F14F84"/>
    <w:rsid w:val="00F1541F"/>
    <w:rsid w:val="00F15A9D"/>
    <w:rsid w:val="00F15ACA"/>
    <w:rsid w:val="00F15CE9"/>
    <w:rsid w:val="00F160AF"/>
    <w:rsid w:val="00F164D1"/>
    <w:rsid w:val="00F164D7"/>
    <w:rsid w:val="00F165E8"/>
    <w:rsid w:val="00F165FF"/>
    <w:rsid w:val="00F1696C"/>
    <w:rsid w:val="00F16F3A"/>
    <w:rsid w:val="00F2022B"/>
    <w:rsid w:val="00F205A7"/>
    <w:rsid w:val="00F21121"/>
    <w:rsid w:val="00F211F5"/>
    <w:rsid w:val="00F214CB"/>
    <w:rsid w:val="00F21A6E"/>
    <w:rsid w:val="00F21EEC"/>
    <w:rsid w:val="00F21FB9"/>
    <w:rsid w:val="00F22164"/>
    <w:rsid w:val="00F228BC"/>
    <w:rsid w:val="00F22AB6"/>
    <w:rsid w:val="00F22B3B"/>
    <w:rsid w:val="00F22BA5"/>
    <w:rsid w:val="00F22C16"/>
    <w:rsid w:val="00F23673"/>
    <w:rsid w:val="00F2369E"/>
    <w:rsid w:val="00F23F2A"/>
    <w:rsid w:val="00F24F44"/>
    <w:rsid w:val="00F256D3"/>
    <w:rsid w:val="00F25728"/>
    <w:rsid w:val="00F25CBB"/>
    <w:rsid w:val="00F26131"/>
    <w:rsid w:val="00F26281"/>
    <w:rsid w:val="00F26921"/>
    <w:rsid w:val="00F26C4B"/>
    <w:rsid w:val="00F26CB9"/>
    <w:rsid w:val="00F27435"/>
    <w:rsid w:val="00F27A5C"/>
    <w:rsid w:val="00F27FA7"/>
    <w:rsid w:val="00F30726"/>
    <w:rsid w:val="00F308D7"/>
    <w:rsid w:val="00F30AE1"/>
    <w:rsid w:val="00F30D43"/>
    <w:rsid w:val="00F30E90"/>
    <w:rsid w:val="00F315E5"/>
    <w:rsid w:val="00F31784"/>
    <w:rsid w:val="00F3187C"/>
    <w:rsid w:val="00F32069"/>
    <w:rsid w:val="00F32443"/>
    <w:rsid w:val="00F32554"/>
    <w:rsid w:val="00F32D35"/>
    <w:rsid w:val="00F32F4D"/>
    <w:rsid w:val="00F33326"/>
    <w:rsid w:val="00F33AE5"/>
    <w:rsid w:val="00F33C1F"/>
    <w:rsid w:val="00F3401A"/>
    <w:rsid w:val="00F341E5"/>
    <w:rsid w:val="00F35B2D"/>
    <w:rsid w:val="00F35F82"/>
    <w:rsid w:val="00F369E8"/>
    <w:rsid w:val="00F37524"/>
    <w:rsid w:val="00F40C43"/>
    <w:rsid w:val="00F4123D"/>
    <w:rsid w:val="00F413ED"/>
    <w:rsid w:val="00F4159F"/>
    <w:rsid w:val="00F418FC"/>
    <w:rsid w:val="00F41965"/>
    <w:rsid w:val="00F41A20"/>
    <w:rsid w:val="00F42325"/>
    <w:rsid w:val="00F42327"/>
    <w:rsid w:val="00F4275C"/>
    <w:rsid w:val="00F42B07"/>
    <w:rsid w:val="00F42EBA"/>
    <w:rsid w:val="00F430CD"/>
    <w:rsid w:val="00F43236"/>
    <w:rsid w:val="00F43A06"/>
    <w:rsid w:val="00F43B74"/>
    <w:rsid w:val="00F43D8B"/>
    <w:rsid w:val="00F44A67"/>
    <w:rsid w:val="00F45FB1"/>
    <w:rsid w:val="00F462CE"/>
    <w:rsid w:val="00F46E22"/>
    <w:rsid w:val="00F47413"/>
    <w:rsid w:val="00F47A05"/>
    <w:rsid w:val="00F47AE1"/>
    <w:rsid w:val="00F47C05"/>
    <w:rsid w:val="00F47DEE"/>
    <w:rsid w:val="00F47E5B"/>
    <w:rsid w:val="00F502D1"/>
    <w:rsid w:val="00F503BB"/>
    <w:rsid w:val="00F50791"/>
    <w:rsid w:val="00F50E8F"/>
    <w:rsid w:val="00F51205"/>
    <w:rsid w:val="00F515E9"/>
    <w:rsid w:val="00F51F72"/>
    <w:rsid w:val="00F523FB"/>
    <w:rsid w:val="00F5297A"/>
    <w:rsid w:val="00F52A44"/>
    <w:rsid w:val="00F53653"/>
    <w:rsid w:val="00F54191"/>
    <w:rsid w:val="00F54217"/>
    <w:rsid w:val="00F54A78"/>
    <w:rsid w:val="00F54DC3"/>
    <w:rsid w:val="00F55AA6"/>
    <w:rsid w:val="00F55EA3"/>
    <w:rsid w:val="00F56092"/>
    <w:rsid w:val="00F560F0"/>
    <w:rsid w:val="00F56237"/>
    <w:rsid w:val="00F563C3"/>
    <w:rsid w:val="00F564DA"/>
    <w:rsid w:val="00F5671D"/>
    <w:rsid w:val="00F569A1"/>
    <w:rsid w:val="00F56BA8"/>
    <w:rsid w:val="00F56CA5"/>
    <w:rsid w:val="00F5767E"/>
    <w:rsid w:val="00F576E9"/>
    <w:rsid w:val="00F578C4"/>
    <w:rsid w:val="00F57CFE"/>
    <w:rsid w:val="00F57FB8"/>
    <w:rsid w:val="00F600BF"/>
    <w:rsid w:val="00F60393"/>
    <w:rsid w:val="00F60425"/>
    <w:rsid w:val="00F6058E"/>
    <w:rsid w:val="00F60768"/>
    <w:rsid w:val="00F60902"/>
    <w:rsid w:val="00F60B45"/>
    <w:rsid w:val="00F61771"/>
    <w:rsid w:val="00F6182A"/>
    <w:rsid w:val="00F61C7B"/>
    <w:rsid w:val="00F61C9C"/>
    <w:rsid w:val="00F61CA7"/>
    <w:rsid w:val="00F61E62"/>
    <w:rsid w:val="00F621B4"/>
    <w:rsid w:val="00F627E7"/>
    <w:rsid w:val="00F62F50"/>
    <w:rsid w:val="00F62F68"/>
    <w:rsid w:val="00F63309"/>
    <w:rsid w:val="00F634FC"/>
    <w:rsid w:val="00F63ACF"/>
    <w:rsid w:val="00F63DA5"/>
    <w:rsid w:val="00F642F9"/>
    <w:rsid w:val="00F646CE"/>
    <w:rsid w:val="00F64A0C"/>
    <w:rsid w:val="00F64EFB"/>
    <w:rsid w:val="00F668D0"/>
    <w:rsid w:val="00F67128"/>
    <w:rsid w:val="00F671DC"/>
    <w:rsid w:val="00F673F2"/>
    <w:rsid w:val="00F67BCE"/>
    <w:rsid w:val="00F67BE5"/>
    <w:rsid w:val="00F70521"/>
    <w:rsid w:val="00F70C47"/>
    <w:rsid w:val="00F7119C"/>
    <w:rsid w:val="00F71223"/>
    <w:rsid w:val="00F718BE"/>
    <w:rsid w:val="00F72404"/>
    <w:rsid w:val="00F724C9"/>
    <w:rsid w:val="00F72726"/>
    <w:rsid w:val="00F73A50"/>
    <w:rsid w:val="00F747A6"/>
    <w:rsid w:val="00F74BE9"/>
    <w:rsid w:val="00F766B5"/>
    <w:rsid w:val="00F76FAA"/>
    <w:rsid w:val="00F77430"/>
    <w:rsid w:val="00F775A8"/>
    <w:rsid w:val="00F77B94"/>
    <w:rsid w:val="00F8035B"/>
    <w:rsid w:val="00F808F5"/>
    <w:rsid w:val="00F8104C"/>
    <w:rsid w:val="00F810A8"/>
    <w:rsid w:val="00F817F1"/>
    <w:rsid w:val="00F81F40"/>
    <w:rsid w:val="00F82247"/>
    <w:rsid w:val="00F82255"/>
    <w:rsid w:val="00F82A89"/>
    <w:rsid w:val="00F83209"/>
    <w:rsid w:val="00F83A31"/>
    <w:rsid w:val="00F84009"/>
    <w:rsid w:val="00F84AEC"/>
    <w:rsid w:val="00F8537F"/>
    <w:rsid w:val="00F85F6E"/>
    <w:rsid w:val="00F85FA5"/>
    <w:rsid w:val="00F860EB"/>
    <w:rsid w:val="00F86961"/>
    <w:rsid w:val="00F86CB5"/>
    <w:rsid w:val="00F874C6"/>
    <w:rsid w:val="00F876E3"/>
    <w:rsid w:val="00F87E30"/>
    <w:rsid w:val="00F87E52"/>
    <w:rsid w:val="00F87F54"/>
    <w:rsid w:val="00F9012B"/>
    <w:rsid w:val="00F90AFE"/>
    <w:rsid w:val="00F9112E"/>
    <w:rsid w:val="00F911D8"/>
    <w:rsid w:val="00F92A24"/>
    <w:rsid w:val="00F92A79"/>
    <w:rsid w:val="00F92D0E"/>
    <w:rsid w:val="00F93546"/>
    <w:rsid w:val="00F938CA"/>
    <w:rsid w:val="00F93A1E"/>
    <w:rsid w:val="00F9412C"/>
    <w:rsid w:val="00F9464B"/>
    <w:rsid w:val="00F94D0B"/>
    <w:rsid w:val="00F95B8A"/>
    <w:rsid w:val="00F95F79"/>
    <w:rsid w:val="00F968DE"/>
    <w:rsid w:val="00F97205"/>
    <w:rsid w:val="00F975FE"/>
    <w:rsid w:val="00F9763D"/>
    <w:rsid w:val="00F97A75"/>
    <w:rsid w:val="00F97C04"/>
    <w:rsid w:val="00F97E2E"/>
    <w:rsid w:val="00FA0050"/>
    <w:rsid w:val="00FA0873"/>
    <w:rsid w:val="00FA0A89"/>
    <w:rsid w:val="00FA101E"/>
    <w:rsid w:val="00FA1583"/>
    <w:rsid w:val="00FA1B1C"/>
    <w:rsid w:val="00FA1F71"/>
    <w:rsid w:val="00FA22DF"/>
    <w:rsid w:val="00FA29B1"/>
    <w:rsid w:val="00FA4033"/>
    <w:rsid w:val="00FA41AD"/>
    <w:rsid w:val="00FA49EA"/>
    <w:rsid w:val="00FA592B"/>
    <w:rsid w:val="00FA5C40"/>
    <w:rsid w:val="00FA62CE"/>
    <w:rsid w:val="00FA63AC"/>
    <w:rsid w:val="00FA7082"/>
    <w:rsid w:val="00FA7450"/>
    <w:rsid w:val="00FA7AE8"/>
    <w:rsid w:val="00FA7DF2"/>
    <w:rsid w:val="00FB02E2"/>
    <w:rsid w:val="00FB0E60"/>
    <w:rsid w:val="00FB1743"/>
    <w:rsid w:val="00FB1971"/>
    <w:rsid w:val="00FB25B9"/>
    <w:rsid w:val="00FB2D53"/>
    <w:rsid w:val="00FB3414"/>
    <w:rsid w:val="00FB397C"/>
    <w:rsid w:val="00FB4F7D"/>
    <w:rsid w:val="00FB4FE4"/>
    <w:rsid w:val="00FB5A89"/>
    <w:rsid w:val="00FB63B3"/>
    <w:rsid w:val="00FB661C"/>
    <w:rsid w:val="00FB6B56"/>
    <w:rsid w:val="00FB6D7A"/>
    <w:rsid w:val="00FB6E9D"/>
    <w:rsid w:val="00FB7297"/>
    <w:rsid w:val="00FB72A7"/>
    <w:rsid w:val="00FB7BAD"/>
    <w:rsid w:val="00FB7CF5"/>
    <w:rsid w:val="00FC0206"/>
    <w:rsid w:val="00FC05CA"/>
    <w:rsid w:val="00FC098C"/>
    <w:rsid w:val="00FC0FF1"/>
    <w:rsid w:val="00FC108C"/>
    <w:rsid w:val="00FC171F"/>
    <w:rsid w:val="00FC1855"/>
    <w:rsid w:val="00FC19EF"/>
    <w:rsid w:val="00FC1BF5"/>
    <w:rsid w:val="00FC1F0D"/>
    <w:rsid w:val="00FC35B1"/>
    <w:rsid w:val="00FC35EC"/>
    <w:rsid w:val="00FC3941"/>
    <w:rsid w:val="00FC3A61"/>
    <w:rsid w:val="00FC3C6C"/>
    <w:rsid w:val="00FC3D91"/>
    <w:rsid w:val="00FC4AF0"/>
    <w:rsid w:val="00FC506C"/>
    <w:rsid w:val="00FC5350"/>
    <w:rsid w:val="00FC55A9"/>
    <w:rsid w:val="00FC55B8"/>
    <w:rsid w:val="00FC5F23"/>
    <w:rsid w:val="00FC5F85"/>
    <w:rsid w:val="00FC6AC2"/>
    <w:rsid w:val="00FC6B8B"/>
    <w:rsid w:val="00FC6F09"/>
    <w:rsid w:val="00FC7495"/>
    <w:rsid w:val="00FC7664"/>
    <w:rsid w:val="00FC7B2B"/>
    <w:rsid w:val="00FC7C1E"/>
    <w:rsid w:val="00FD0797"/>
    <w:rsid w:val="00FD081E"/>
    <w:rsid w:val="00FD0F65"/>
    <w:rsid w:val="00FD1240"/>
    <w:rsid w:val="00FD138F"/>
    <w:rsid w:val="00FD1E12"/>
    <w:rsid w:val="00FD1EC9"/>
    <w:rsid w:val="00FD2718"/>
    <w:rsid w:val="00FD2C34"/>
    <w:rsid w:val="00FD4394"/>
    <w:rsid w:val="00FD4F58"/>
    <w:rsid w:val="00FD5153"/>
    <w:rsid w:val="00FD51B5"/>
    <w:rsid w:val="00FD5508"/>
    <w:rsid w:val="00FD5755"/>
    <w:rsid w:val="00FD5D6E"/>
    <w:rsid w:val="00FD5E6E"/>
    <w:rsid w:val="00FD6C15"/>
    <w:rsid w:val="00FD6E08"/>
    <w:rsid w:val="00FD7025"/>
    <w:rsid w:val="00FD7053"/>
    <w:rsid w:val="00FD71CD"/>
    <w:rsid w:val="00FD7533"/>
    <w:rsid w:val="00FD7A9E"/>
    <w:rsid w:val="00FE019F"/>
    <w:rsid w:val="00FE0296"/>
    <w:rsid w:val="00FE05CA"/>
    <w:rsid w:val="00FE0B47"/>
    <w:rsid w:val="00FE10A4"/>
    <w:rsid w:val="00FE178E"/>
    <w:rsid w:val="00FE1A46"/>
    <w:rsid w:val="00FE2009"/>
    <w:rsid w:val="00FE2309"/>
    <w:rsid w:val="00FE235E"/>
    <w:rsid w:val="00FE254C"/>
    <w:rsid w:val="00FE2A67"/>
    <w:rsid w:val="00FE341A"/>
    <w:rsid w:val="00FE3A43"/>
    <w:rsid w:val="00FE3AD5"/>
    <w:rsid w:val="00FE3EC4"/>
    <w:rsid w:val="00FE4385"/>
    <w:rsid w:val="00FE49FF"/>
    <w:rsid w:val="00FE4B21"/>
    <w:rsid w:val="00FE4BA2"/>
    <w:rsid w:val="00FE5275"/>
    <w:rsid w:val="00FE59A9"/>
    <w:rsid w:val="00FE5E0E"/>
    <w:rsid w:val="00FE5EC3"/>
    <w:rsid w:val="00FE6582"/>
    <w:rsid w:val="00FE663B"/>
    <w:rsid w:val="00FE67FE"/>
    <w:rsid w:val="00FE6E3E"/>
    <w:rsid w:val="00FE7393"/>
    <w:rsid w:val="00FE776E"/>
    <w:rsid w:val="00FE7B93"/>
    <w:rsid w:val="00FE7BD2"/>
    <w:rsid w:val="00FE7DEE"/>
    <w:rsid w:val="00FF0009"/>
    <w:rsid w:val="00FF0329"/>
    <w:rsid w:val="00FF0E60"/>
    <w:rsid w:val="00FF0FD2"/>
    <w:rsid w:val="00FF1553"/>
    <w:rsid w:val="00FF16D5"/>
    <w:rsid w:val="00FF1B69"/>
    <w:rsid w:val="00FF20BC"/>
    <w:rsid w:val="00FF232F"/>
    <w:rsid w:val="00FF344F"/>
    <w:rsid w:val="00FF39C1"/>
    <w:rsid w:val="00FF42D9"/>
    <w:rsid w:val="00FF4AD6"/>
    <w:rsid w:val="00FF5242"/>
    <w:rsid w:val="00FF527C"/>
    <w:rsid w:val="00FF59B8"/>
    <w:rsid w:val="00FF5B70"/>
    <w:rsid w:val="00FF608B"/>
    <w:rsid w:val="00FF608E"/>
    <w:rsid w:val="00FF60E9"/>
    <w:rsid w:val="00FF6781"/>
    <w:rsid w:val="00FF6862"/>
    <w:rsid w:val="00FF6867"/>
    <w:rsid w:val="00FF72C3"/>
    <w:rsid w:val="00FF732A"/>
    <w:rsid w:val="00FF7FFA"/>
    <w:rsid w:val="041C02C3"/>
    <w:rsid w:val="0B4E8D67"/>
    <w:rsid w:val="2D5FFD01"/>
    <w:rsid w:val="30FE30C5"/>
    <w:rsid w:val="3267F38A"/>
    <w:rsid w:val="35AED6E5"/>
    <w:rsid w:val="5B3E0D20"/>
    <w:rsid w:val="620D2CC0"/>
    <w:rsid w:val="6898F87C"/>
    <w:rsid w:val="7C1206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37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C0"/>
  </w:style>
  <w:style w:type="paragraph" w:styleId="Heading1">
    <w:name w:val="heading 1"/>
    <w:basedOn w:val="Normal"/>
    <w:next w:val="Normal"/>
    <w:link w:val="Heading1Char"/>
    <w:uiPriority w:val="9"/>
    <w:qFormat/>
    <w:rsid w:val="00287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7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14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05C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70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146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05C24"/>
    <w:rPr>
      <w:rFonts w:asciiTheme="majorHAnsi" w:eastAsiaTheme="majorEastAsia" w:hAnsiTheme="majorHAnsi" w:cstheme="majorBidi"/>
      <w:i/>
      <w:iCs/>
      <w:color w:val="2F5496" w:themeColor="accent1" w:themeShade="BF"/>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Liste 1"/>
    <w:basedOn w:val="Normal"/>
    <w:link w:val="ListParagraphChar"/>
    <w:uiPriority w:val="34"/>
    <w:qFormat/>
    <w:rsid w:val="002870C0"/>
    <w:pPr>
      <w:ind w:left="720"/>
      <w:contextualSpacing/>
    </w:p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4E3867"/>
  </w:style>
  <w:style w:type="paragraph" w:styleId="Header">
    <w:name w:val="header"/>
    <w:basedOn w:val="Normal"/>
    <w:link w:val="HeaderChar"/>
    <w:uiPriority w:val="99"/>
    <w:unhideWhenUsed/>
    <w:rsid w:val="002870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0C0"/>
  </w:style>
  <w:style w:type="paragraph" w:styleId="Footer">
    <w:name w:val="footer"/>
    <w:basedOn w:val="Normal"/>
    <w:link w:val="FooterChar"/>
    <w:uiPriority w:val="99"/>
    <w:unhideWhenUsed/>
    <w:rsid w:val="002870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0C0"/>
  </w:style>
  <w:style w:type="paragraph" w:styleId="TOCHeading">
    <w:name w:val="TOC Heading"/>
    <w:basedOn w:val="Heading1"/>
    <w:next w:val="Normal"/>
    <w:uiPriority w:val="39"/>
    <w:unhideWhenUsed/>
    <w:qFormat/>
    <w:rsid w:val="00B83195"/>
    <w:pPr>
      <w:outlineLvl w:val="9"/>
    </w:pPr>
    <w:rPr>
      <w:lang w:val="en-US"/>
    </w:rPr>
  </w:style>
  <w:style w:type="paragraph" w:styleId="TOC1">
    <w:name w:val="toc 1"/>
    <w:basedOn w:val="Normal"/>
    <w:next w:val="Normal"/>
    <w:autoRedefine/>
    <w:uiPriority w:val="39"/>
    <w:unhideWhenUsed/>
    <w:rsid w:val="00B83195"/>
    <w:pPr>
      <w:spacing w:after="100"/>
    </w:pPr>
  </w:style>
  <w:style w:type="paragraph" w:styleId="TOC2">
    <w:name w:val="toc 2"/>
    <w:basedOn w:val="Normal"/>
    <w:next w:val="Normal"/>
    <w:autoRedefine/>
    <w:uiPriority w:val="39"/>
    <w:unhideWhenUsed/>
    <w:rsid w:val="00B83195"/>
    <w:pPr>
      <w:spacing w:after="100"/>
      <w:ind w:left="220"/>
    </w:pPr>
  </w:style>
  <w:style w:type="character" w:styleId="Hyperlink">
    <w:name w:val="Hyperlink"/>
    <w:basedOn w:val="DefaultParagraphFont"/>
    <w:uiPriority w:val="99"/>
    <w:unhideWhenUsed/>
    <w:rsid w:val="00B83195"/>
    <w:rPr>
      <w:color w:val="0563C1" w:themeColor="hyperlink"/>
      <w:u w:val="single"/>
    </w:rPr>
  </w:style>
  <w:style w:type="table" w:styleId="TableGrid">
    <w:name w:val="Table Grid"/>
    <w:basedOn w:val="TableNormal"/>
    <w:uiPriority w:val="99"/>
    <w:rsid w:val="0059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F41965"/>
    <w:rPr>
      <w:color w:val="605E5C"/>
      <w:shd w:val="clear" w:color="auto" w:fill="E1DFDD"/>
    </w:rPr>
  </w:style>
  <w:style w:type="paragraph" w:styleId="FootnoteText">
    <w:name w:val="footnote text"/>
    <w:basedOn w:val="Normal"/>
    <w:link w:val="FootnoteTextChar"/>
    <w:uiPriority w:val="99"/>
    <w:unhideWhenUsed/>
    <w:rsid w:val="003D503E"/>
    <w:pPr>
      <w:spacing w:after="0" w:line="240" w:lineRule="auto"/>
    </w:pPr>
    <w:rPr>
      <w:sz w:val="20"/>
      <w:szCs w:val="20"/>
    </w:rPr>
  </w:style>
  <w:style w:type="character" w:customStyle="1" w:styleId="FootnoteTextChar">
    <w:name w:val="Footnote Text Char"/>
    <w:basedOn w:val="DefaultParagraphFont"/>
    <w:link w:val="FootnoteText"/>
    <w:uiPriority w:val="99"/>
    <w:rsid w:val="003D503E"/>
    <w:rPr>
      <w:sz w:val="20"/>
      <w:szCs w:val="20"/>
    </w:rPr>
  </w:style>
  <w:style w:type="character" w:styleId="FootnoteReference">
    <w:name w:val="footnote reference"/>
    <w:basedOn w:val="DefaultParagraphFont"/>
    <w:uiPriority w:val="99"/>
    <w:semiHidden/>
    <w:unhideWhenUsed/>
    <w:rsid w:val="003D503E"/>
    <w:rPr>
      <w:vertAlign w:val="superscript"/>
    </w:rPr>
  </w:style>
  <w:style w:type="paragraph" w:styleId="Caption">
    <w:name w:val="caption"/>
    <w:basedOn w:val="Normal"/>
    <w:next w:val="Normal"/>
    <w:uiPriority w:val="35"/>
    <w:unhideWhenUsed/>
    <w:qFormat/>
    <w:rsid w:val="00BF713F"/>
    <w:pPr>
      <w:spacing w:after="200" w:line="240" w:lineRule="auto"/>
    </w:pPr>
    <w:rPr>
      <w:i/>
      <w:iCs/>
      <w:color w:val="44546A" w:themeColor="text2"/>
      <w:sz w:val="18"/>
      <w:szCs w:val="18"/>
    </w:rPr>
  </w:style>
  <w:style w:type="table" w:customStyle="1" w:styleId="PlainTable51">
    <w:name w:val="Plain Table 51"/>
    <w:basedOn w:val="TableNormal"/>
    <w:uiPriority w:val="45"/>
    <w:rsid w:val="008950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4E3867"/>
    <w:rPr>
      <w:sz w:val="16"/>
      <w:szCs w:val="16"/>
    </w:rPr>
  </w:style>
  <w:style w:type="paragraph" w:styleId="CommentText">
    <w:name w:val="annotation text"/>
    <w:basedOn w:val="Normal"/>
    <w:link w:val="CommentTextChar"/>
    <w:uiPriority w:val="99"/>
    <w:unhideWhenUsed/>
    <w:rsid w:val="004E3867"/>
    <w:pPr>
      <w:spacing w:line="240" w:lineRule="auto"/>
    </w:pPr>
    <w:rPr>
      <w:sz w:val="20"/>
      <w:szCs w:val="20"/>
    </w:rPr>
  </w:style>
  <w:style w:type="character" w:customStyle="1" w:styleId="CommentTextChar">
    <w:name w:val="Comment Text Char"/>
    <w:basedOn w:val="DefaultParagraphFont"/>
    <w:link w:val="CommentText"/>
    <w:uiPriority w:val="99"/>
    <w:rsid w:val="004E3867"/>
    <w:rPr>
      <w:sz w:val="20"/>
      <w:szCs w:val="20"/>
    </w:rPr>
  </w:style>
  <w:style w:type="paragraph" w:styleId="CommentSubject">
    <w:name w:val="annotation subject"/>
    <w:basedOn w:val="CommentText"/>
    <w:next w:val="CommentText"/>
    <w:link w:val="CommentSubjectChar"/>
    <w:uiPriority w:val="99"/>
    <w:semiHidden/>
    <w:unhideWhenUsed/>
    <w:rsid w:val="004E3867"/>
    <w:rPr>
      <w:b/>
      <w:bCs/>
    </w:rPr>
  </w:style>
  <w:style w:type="character" w:customStyle="1" w:styleId="CommentSubjectChar">
    <w:name w:val="Comment Subject Char"/>
    <w:basedOn w:val="CommentTextChar"/>
    <w:link w:val="CommentSubject"/>
    <w:uiPriority w:val="99"/>
    <w:semiHidden/>
    <w:rsid w:val="004E3867"/>
    <w:rPr>
      <w:b/>
      <w:bCs/>
      <w:sz w:val="20"/>
      <w:szCs w:val="20"/>
    </w:rPr>
  </w:style>
  <w:style w:type="paragraph" w:customStyle="1" w:styleId="Figurenote">
    <w:name w:val="Figure note"/>
    <w:basedOn w:val="Normal"/>
    <w:link w:val="FigurenoteChar"/>
    <w:qFormat/>
    <w:rsid w:val="004E3867"/>
    <w:pPr>
      <w:spacing w:after="120"/>
      <w:jc w:val="both"/>
    </w:pPr>
    <w:rPr>
      <w:rFonts w:eastAsiaTheme="minorEastAsia" w:cstheme="minorHAnsi"/>
      <w:i/>
      <w:sz w:val="18"/>
      <w:szCs w:val="18"/>
      <w:shd w:val="clear" w:color="auto" w:fill="FFFFFF"/>
    </w:rPr>
  </w:style>
  <w:style w:type="character" w:customStyle="1" w:styleId="FigurenoteChar">
    <w:name w:val="Figure note Char"/>
    <w:basedOn w:val="DefaultParagraphFont"/>
    <w:link w:val="Figurenote"/>
    <w:rsid w:val="004E3867"/>
    <w:rPr>
      <w:rFonts w:eastAsiaTheme="minorEastAsia" w:cstheme="minorHAnsi"/>
      <w:i/>
      <w:sz w:val="18"/>
      <w:szCs w:val="18"/>
    </w:rPr>
  </w:style>
  <w:style w:type="table" w:customStyle="1" w:styleId="PlainTable31">
    <w:name w:val="Plain Table 31"/>
    <w:basedOn w:val="TableNormal"/>
    <w:uiPriority w:val="43"/>
    <w:rsid w:val="001705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3">
    <w:name w:val="toc 3"/>
    <w:basedOn w:val="Normal"/>
    <w:next w:val="Normal"/>
    <w:autoRedefine/>
    <w:uiPriority w:val="39"/>
    <w:unhideWhenUsed/>
    <w:rsid w:val="00412673"/>
    <w:pPr>
      <w:spacing w:after="100"/>
      <w:ind w:left="440"/>
    </w:pPr>
  </w:style>
  <w:style w:type="character" w:styleId="PlaceholderText">
    <w:name w:val="Placeholder Text"/>
    <w:basedOn w:val="DefaultParagraphFont"/>
    <w:uiPriority w:val="99"/>
    <w:semiHidden/>
    <w:rsid w:val="008837DC"/>
    <w:rPr>
      <w:color w:val="808080"/>
    </w:rPr>
  </w:style>
  <w:style w:type="paragraph" w:styleId="DocumentMap">
    <w:name w:val="Document Map"/>
    <w:basedOn w:val="Normal"/>
    <w:link w:val="DocumentMapChar"/>
    <w:uiPriority w:val="99"/>
    <w:semiHidden/>
    <w:unhideWhenUsed/>
    <w:rsid w:val="00D345E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45E7"/>
    <w:rPr>
      <w:rFonts w:ascii="Lucida Grande" w:hAnsi="Lucida Grande" w:cs="Lucida Grande"/>
      <w:sz w:val="24"/>
      <w:szCs w:val="24"/>
    </w:rPr>
  </w:style>
  <w:style w:type="character" w:customStyle="1" w:styleId="UnresolvedMention2">
    <w:name w:val="Unresolved Mention2"/>
    <w:basedOn w:val="DefaultParagraphFont"/>
    <w:uiPriority w:val="99"/>
    <w:semiHidden/>
    <w:unhideWhenUsed/>
    <w:rsid w:val="00950CFC"/>
    <w:rPr>
      <w:color w:val="605E5C"/>
      <w:shd w:val="clear" w:color="auto" w:fill="E1DFDD"/>
    </w:rPr>
  </w:style>
  <w:style w:type="paragraph" w:customStyle="1" w:styleId="Default">
    <w:name w:val="Default"/>
    <w:rsid w:val="00063B5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C001A"/>
    <w:rPr>
      <w:color w:val="954F72" w:themeColor="followedHyperlink"/>
      <w:u w:val="single"/>
    </w:rPr>
  </w:style>
  <w:style w:type="character" w:styleId="UnresolvedMention">
    <w:name w:val="Unresolved Mention"/>
    <w:basedOn w:val="DefaultParagraphFont"/>
    <w:uiPriority w:val="99"/>
    <w:unhideWhenUsed/>
    <w:rsid w:val="00E1338C"/>
    <w:rPr>
      <w:color w:val="605E5C"/>
      <w:shd w:val="clear" w:color="auto" w:fill="E1DFDD"/>
    </w:rPr>
  </w:style>
  <w:style w:type="character" w:customStyle="1" w:styleId="wb-inv">
    <w:name w:val="wb-inv"/>
    <w:basedOn w:val="DefaultParagraphFont"/>
    <w:rsid w:val="00F85F6E"/>
  </w:style>
  <w:style w:type="table" w:styleId="PlainTable1">
    <w:name w:val="Plain Table 1"/>
    <w:basedOn w:val="TableNormal"/>
    <w:uiPriority w:val="99"/>
    <w:rsid w:val="00A169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A16955"/>
    <w:pPr>
      <w:spacing w:after="0" w:line="240" w:lineRule="auto"/>
    </w:pPr>
    <w:rPr>
      <w:rFonts w:ascii="Times New Roman" w:eastAsiaTheme="minorEastAsia" w:hAnsi="Times New Roman" w:cs="Times New Roman"/>
      <w:sz w:val="24"/>
      <w:szCs w:val="24"/>
      <w:lang w:val="en-US" w:eastAsia="zh-CN"/>
    </w:rPr>
  </w:style>
  <w:style w:type="table" w:styleId="PlainTable3">
    <w:name w:val="Plain Table 3"/>
    <w:basedOn w:val="TableNormal"/>
    <w:uiPriority w:val="99"/>
    <w:rsid w:val="00DA58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EA27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7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524">
      <w:bodyDiv w:val="1"/>
      <w:marLeft w:val="0"/>
      <w:marRight w:val="0"/>
      <w:marTop w:val="0"/>
      <w:marBottom w:val="0"/>
      <w:divBdr>
        <w:top w:val="none" w:sz="0" w:space="0" w:color="auto"/>
        <w:left w:val="none" w:sz="0" w:space="0" w:color="auto"/>
        <w:bottom w:val="none" w:sz="0" w:space="0" w:color="auto"/>
        <w:right w:val="none" w:sz="0" w:space="0" w:color="auto"/>
      </w:divBdr>
    </w:div>
    <w:div w:id="54277718">
      <w:bodyDiv w:val="1"/>
      <w:marLeft w:val="0"/>
      <w:marRight w:val="0"/>
      <w:marTop w:val="0"/>
      <w:marBottom w:val="0"/>
      <w:divBdr>
        <w:top w:val="none" w:sz="0" w:space="0" w:color="auto"/>
        <w:left w:val="none" w:sz="0" w:space="0" w:color="auto"/>
        <w:bottom w:val="none" w:sz="0" w:space="0" w:color="auto"/>
        <w:right w:val="none" w:sz="0" w:space="0" w:color="auto"/>
      </w:divBdr>
    </w:div>
    <w:div w:id="115291928">
      <w:bodyDiv w:val="1"/>
      <w:marLeft w:val="0"/>
      <w:marRight w:val="0"/>
      <w:marTop w:val="0"/>
      <w:marBottom w:val="0"/>
      <w:divBdr>
        <w:top w:val="none" w:sz="0" w:space="0" w:color="auto"/>
        <w:left w:val="none" w:sz="0" w:space="0" w:color="auto"/>
        <w:bottom w:val="none" w:sz="0" w:space="0" w:color="auto"/>
        <w:right w:val="none" w:sz="0" w:space="0" w:color="auto"/>
      </w:divBdr>
      <w:divsChild>
        <w:div w:id="1985238312">
          <w:marLeft w:val="0"/>
          <w:marRight w:val="0"/>
          <w:marTop w:val="0"/>
          <w:marBottom w:val="240"/>
          <w:divBdr>
            <w:top w:val="none" w:sz="0" w:space="0" w:color="auto"/>
            <w:left w:val="none" w:sz="0" w:space="0" w:color="auto"/>
            <w:bottom w:val="none" w:sz="0" w:space="0" w:color="auto"/>
            <w:right w:val="none" w:sz="0" w:space="0" w:color="auto"/>
          </w:divBdr>
          <w:divsChild>
            <w:div w:id="5773251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35573">
      <w:bodyDiv w:val="1"/>
      <w:marLeft w:val="0"/>
      <w:marRight w:val="0"/>
      <w:marTop w:val="0"/>
      <w:marBottom w:val="0"/>
      <w:divBdr>
        <w:top w:val="none" w:sz="0" w:space="0" w:color="auto"/>
        <w:left w:val="none" w:sz="0" w:space="0" w:color="auto"/>
        <w:bottom w:val="none" w:sz="0" w:space="0" w:color="auto"/>
        <w:right w:val="none" w:sz="0" w:space="0" w:color="auto"/>
      </w:divBdr>
    </w:div>
    <w:div w:id="208760527">
      <w:bodyDiv w:val="1"/>
      <w:marLeft w:val="0"/>
      <w:marRight w:val="0"/>
      <w:marTop w:val="0"/>
      <w:marBottom w:val="0"/>
      <w:divBdr>
        <w:top w:val="none" w:sz="0" w:space="0" w:color="auto"/>
        <w:left w:val="none" w:sz="0" w:space="0" w:color="auto"/>
        <w:bottom w:val="none" w:sz="0" w:space="0" w:color="auto"/>
        <w:right w:val="none" w:sz="0" w:space="0" w:color="auto"/>
      </w:divBdr>
    </w:div>
    <w:div w:id="247807864">
      <w:bodyDiv w:val="1"/>
      <w:marLeft w:val="0"/>
      <w:marRight w:val="0"/>
      <w:marTop w:val="0"/>
      <w:marBottom w:val="0"/>
      <w:divBdr>
        <w:top w:val="none" w:sz="0" w:space="0" w:color="auto"/>
        <w:left w:val="none" w:sz="0" w:space="0" w:color="auto"/>
        <w:bottom w:val="none" w:sz="0" w:space="0" w:color="auto"/>
        <w:right w:val="none" w:sz="0" w:space="0" w:color="auto"/>
      </w:divBdr>
    </w:div>
    <w:div w:id="256795299">
      <w:bodyDiv w:val="1"/>
      <w:marLeft w:val="0"/>
      <w:marRight w:val="0"/>
      <w:marTop w:val="0"/>
      <w:marBottom w:val="0"/>
      <w:divBdr>
        <w:top w:val="none" w:sz="0" w:space="0" w:color="auto"/>
        <w:left w:val="none" w:sz="0" w:space="0" w:color="auto"/>
        <w:bottom w:val="none" w:sz="0" w:space="0" w:color="auto"/>
        <w:right w:val="none" w:sz="0" w:space="0" w:color="auto"/>
      </w:divBdr>
    </w:div>
    <w:div w:id="264772803">
      <w:bodyDiv w:val="1"/>
      <w:marLeft w:val="0"/>
      <w:marRight w:val="0"/>
      <w:marTop w:val="0"/>
      <w:marBottom w:val="0"/>
      <w:divBdr>
        <w:top w:val="none" w:sz="0" w:space="0" w:color="auto"/>
        <w:left w:val="none" w:sz="0" w:space="0" w:color="auto"/>
        <w:bottom w:val="none" w:sz="0" w:space="0" w:color="auto"/>
        <w:right w:val="none" w:sz="0" w:space="0" w:color="auto"/>
      </w:divBdr>
      <w:divsChild>
        <w:div w:id="857305820">
          <w:marLeft w:val="0"/>
          <w:marRight w:val="0"/>
          <w:marTop w:val="0"/>
          <w:marBottom w:val="0"/>
          <w:divBdr>
            <w:top w:val="none" w:sz="0" w:space="0" w:color="auto"/>
            <w:left w:val="none" w:sz="0" w:space="0" w:color="auto"/>
            <w:bottom w:val="none" w:sz="0" w:space="0" w:color="auto"/>
            <w:right w:val="none" w:sz="0" w:space="0" w:color="auto"/>
          </w:divBdr>
        </w:div>
      </w:divsChild>
    </w:div>
    <w:div w:id="284967621">
      <w:bodyDiv w:val="1"/>
      <w:marLeft w:val="0"/>
      <w:marRight w:val="0"/>
      <w:marTop w:val="0"/>
      <w:marBottom w:val="0"/>
      <w:divBdr>
        <w:top w:val="none" w:sz="0" w:space="0" w:color="auto"/>
        <w:left w:val="none" w:sz="0" w:space="0" w:color="auto"/>
        <w:bottom w:val="none" w:sz="0" w:space="0" w:color="auto"/>
        <w:right w:val="none" w:sz="0" w:space="0" w:color="auto"/>
      </w:divBdr>
    </w:div>
    <w:div w:id="299503257">
      <w:bodyDiv w:val="1"/>
      <w:marLeft w:val="0"/>
      <w:marRight w:val="0"/>
      <w:marTop w:val="0"/>
      <w:marBottom w:val="0"/>
      <w:divBdr>
        <w:top w:val="none" w:sz="0" w:space="0" w:color="auto"/>
        <w:left w:val="none" w:sz="0" w:space="0" w:color="auto"/>
        <w:bottom w:val="none" w:sz="0" w:space="0" w:color="auto"/>
        <w:right w:val="none" w:sz="0" w:space="0" w:color="auto"/>
      </w:divBdr>
    </w:div>
    <w:div w:id="306398627">
      <w:bodyDiv w:val="1"/>
      <w:marLeft w:val="0"/>
      <w:marRight w:val="0"/>
      <w:marTop w:val="0"/>
      <w:marBottom w:val="0"/>
      <w:divBdr>
        <w:top w:val="none" w:sz="0" w:space="0" w:color="auto"/>
        <w:left w:val="none" w:sz="0" w:space="0" w:color="auto"/>
        <w:bottom w:val="none" w:sz="0" w:space="0" w:color="auto"/>
        <w:right w:val="none" w:sz="0" w:space="0" w:color="auto"/>
      </w:divBdr>
    </w:div>
    <w:div w:id="374433302">
      <w:bodyDiv w:val="1"/>
      <w:marLeft w:val="0"/>
      <w:marRight w:val="0"/>
      <w:marTop w:val="0"/>
      <w:marBottom w:val="0"/>
      <w:divBdr>
        <w:top w:val="none" w:sz="0" w:space="0" w:color="auto"/>
        <w:left w:val="none" w:sz="0" w:space="0" w:color="auto"/>
        <w:bottom w:val="none" w:sz="0" w:space="0" w:color="auto"/>
        <w:right w:val="none" w:sz="0" w:space="0" w:color="auto"/>
      </w:divBdr>
      <w:divsChild>
        <w:div w:id="2121417273">
          <w:marLeft w:val="0"/>
          <w:marRight w:val="0"/>
          <w:marTop w:val="0"/>
          <w:marBottom w:val="675"/>
          <w:divBdr>
            <w:top w:val="none" w:sz="0" w:space="0" w:color="auto"/>
            <w:left w:val="none" w:sz="0" w:space="0" w:color="auto"/>
            <w:bottom w:val="none" w:sz="0" w:space="0" w:color="auto"/>
            <w:right w:val="none" w:sz="0" w:space="0" w:color="auto"/>
          </w:divBdr>
        </w:div>
      </w:divsChild>
    </w:div>
    <w:div w:id="439491962">
      <w:bodyDiv w:val="1"/>
      <w:marLeft w:val="0"/>
      <w:marRight w:val="0"/>
      <w:marTop w:val="0"/>
      <w:marBottom w:val="0"/>
      <w:divBdr>
        <w:top w:val="none" w:sz="0" w:space="0" w:color="auto"/>
        <w:left w:val="none" w:sz="0" w:space="0" w:color="auto"/>
        <w:bottom w:val="none" w:sz="0" w:space="0" w:color="auto"/>
        <w:right w:val="none" w:sz="0" w:space="0" w:color="auto"/>
      </w:divBdr>
    </w:div>
    <w:div w:id="459152313">
      <w:bodyDiv w:val="1"/>
      <w:marLeft w:val="0"/>
      <w:marRight w:val="0"/>
      <w:marTop w:val="0"/>
      <w:marBottom w:val="0"/>
      <w:divBdr>
        <w:top w:val="none" w:sz="0" w:space="0" w:color="auto"/>
        <w:left w:val="none" w:sz="0" w:space="0" w:color="auto"/>
        <w:bottom w:val="none" w:sz="0" w:space="0" w:color="auto"/>
        <w:right w:val="none" w:sz="0" w:space="0" w:color="auto"/>
      </w:divBdr>
    </w:div>
    <w:div w:id="481190668">
      <w:bodyDiv w:val="1"/>
      <w:marLeft w:val="0"/>
      <w:marRight w:val="0"/>
      <w:marTop w:val="0"/>
      <w:marBottom w:val="0"/>
      <w:divBdr>
        <w:top w:val="none" w:sz="0" w:space="0" w:color="auto"/>
        <w:left w:val="none" w:sz="0" w:space="0" w:color="auto"/>
        <w:bottom w:val="none" w:sz="0" w:space="0" w:color="auto"/>
        <w:right w:val="none" w:sz="0" w:space="0" w:color="auto"/>
      </w:divBdr>
    </w:div>
    <w:div w:id="513304229">
      <w:bodyDiv w:val="1"/>
      <w:marLeft w:val="0"/>
      <w:marRight w:val="0"/>
      <w:marTop w:val="0"/>
      <w:marBottom w:val="0"/>
      <w:divBdr>
        <w:top w:val="none" w:sz="0" w:space="0" w:color="auto"/>
        <w:left w:val="none" w:sz="0" w:space="0" w:color="auto"/>
        <w:bottom w:val="none" w:sz="0" w:space="0" w:color="auto"/>
        <w:right w:val="none" w:sz="0" w:space="0" w:color="auto"/>
      </w:divBdr>
    </w:div>
    <w:div w:id="581836859">
      <w:bodyDiv w:val="1"/>
      <w:marLeft w:val="0"/>
      <w:marRight w:val="0"/>
      <w:marTop w:val="0"/>
      <w:marBottom w:val="0"/>
      <w:divBdr>
        <w:top w:val="none" w:sz="0" w:space="0" w:color="auto"/>
        <w:left w:val="none" w:sz="0" w:space="0" w:color="auto"/>
        <w:bottom w:val="none" w:sz="0" w:space="0" w:color="auto"/>
        <w:right w:val="none" w:sz="0" w:space="0" w:color="auto"/>
      </w:divBdr>
    </w:div>
    <w:div w:id="588737283">
      <w:bodyDiv w:val="1"/>
      <w:marLeft w:val="0"/>
      <w:marRight w:val="0"/>
      <w:marTop w:val="0"/>
      <w:marBottom w:val="0"/>
      <w:divBdr>
        <w:top w:val="none" w:sz="0" w:space="0" w:color="auto"/>
        <w:left w:val="none" w:sz="0" w:space="0" w:color="auto"/>
        <w:bottom w:val="none" w:sz="0" w:space="0" w:color="auto"/>
        <w:right w:val="none" w:sz="0" w:space="0" w:color="auto"/>
      </w:divBdr>
    </w:div>
    <w:div w:id="649091301">
      <w:bodyDiv w:val="1"/>
      <w:marLeft w:val="0"/>
      <w:marRight w:val="0"/>
      <w:marTop w:val="0"/>
      <w:marBottom w:val="0"/>
      <w:divBdr>
        <w:top w:val="none" w:sz="0" w:space="0" w:color="auto"/>
        <w:left w:val="none" w:sz="0" w:space="0" w:color="auto"/>
        <w:bottom w:val="none" w:sz="0" w:space="0" w:color="auto"/>
        <w:right w:val="none" w:sz="0" w:space="0" w:color="auto"/>
      </w:divBdr>
      <w:divsChild>
        <w:div w:id="739401048">
          <w:marLeft w:val="0"/>
          <w:marRight w:val="0"/>
          <w:marTop w:val="0"/>
          <w:marBottom w:val="240"/>
          <w:divBdr>
            <w:top w:val="none" w:sz="0" w:space="0" w:color="auto"/>
            <w:left w:val="none" w:sz="0" w:space="0" w:color="auto"/>
            <w:bottom w:val="none" w:sz="0" w:space="0" w:color="auto"/>
            <w:right w:val="none" w:sz="0" w:space="0" w:color="auto"/>
          </w:divBdr>
          <w:divsChild>
            <w:div w:id="6430048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4266239">
      <w:bodyDiv w:val="1"/>
      <w:marLeft w:val="0"/>
      <w:marRight w:val="0"/>
      <w:marTop w:val="0"/>
      <w:marBottom w:val="0"/>
      <w:divBdr>
        <w:top w:val="none" w:sz="0" w:space="0" w:color="auto"/>
        <w:left w:val="none" w:sz="0" w:space="0" w:color="auto"/>
        <w:bottom w:val="none" w:sz="0" w:space="0" w:color="auto"/>
        <w:right w:val="none" w:sz="0" w:space="0" w:color="auto"/>
      </w:divBdr>
    </w:div>
    <w:div w:id="666245675">
      <w:bodyDiv w:val="1"/>
      <w:marLeft w:val="0"/>
      <w:marRight w:val="0"/>
      <w:marTop w:val="0"/>
      <w:marBottom w:val="0"/>
      <w:divBdr>
        <w:top w:val="none" w:sz="0" w:space="0" w:color="auto"/>
        <w:left w:val="none" w:sz="0" w:space="0" w:color="auto"/>
        <w:bottom w:val="none" w:sz="0" w:space="0" w:color="auto"/>
        <w:right w:val="none" w:sz="0" w:space="0" w:color="auto"/>
      </w:divBdr>
    </w:div>
    <w:div w:id="684015376">
      <w:bodyDiv w:val="1"/>
      <w:marLeft w:val="0"/>
      <w:marRight w:val="0"/>
      <w:marTop w:val="0"/>
      <w:marBottom w:val="0"/>
      <w:divBdr>
        <w:top w:val="none" w:sz="0" w:space="0" w:color="auto"/>
        <w:left w:val="none" w:sz="0" w:space="0" w:color="auto"/>
        <w:bottom w:val="none" w:sz="0" w:space="0" w:color="auto"/>
        <w:right w:val="none" w:sz="0" w:space="0" w:color="auto"/>
      </w:divBdr>
    </w:div>
    <w:div w:id="702943380">
      <w:bodyDiv w:val="1"/>
      <w:marLeft w:val="0"/>
      <w:marRight w:val="0"/>
      <w:marTop w:val="0"/>
      <w:marBottom w:val="0"/>
      <w:divBdr>
        <w:top w:val="none" w:sz="0" w:space="0" w:color="auto"/>
        <w:left w:val="none" w:sz="0" w:space="0" w:color="auto"/>
        <w:bottom w:val="none" w:sz="0" w:space="0" w:color="auto"/>
        <w:right w:val="none" w:sz="0" w:space="0" w:color="auto"/>
      </w:divBdr>
      <w:divsChild>
        <w:div w:id="1521701621">
          <w:marLeft w:val="0"/>
          <w:marRight w:val="0"/>
          <w:marTop w:val="0"/>
          <w:marBottom w:val="120"/>
          <w:divBdr>
            <w:top w:val="none" w:sz="0" w:space="0" w:color="auto"/>
            <w:left w:val="none" w:sz="0" w:space="0" w:color="auto"/>
            <w:bottom w:val="none" w:sz="0" w:space="0" w:color="auto"/>
            <w:right w:val="none" w:sz="0" w:space="0" w:color="auto"/>
          </w:divBdr>
          <w:divsChild>
            <w:div w:id="870848763">
              <w:marLeft w:val="0"/>
              <w:marRight w:val="0"/>
              <w:marTop w:val="0"/>
              <w:marBottom w:val="0"/>
              <w:divBdr>
                <w:top w:val="none" w:sz="0" w:space="0" w:color="auto"/>
                <w:left w:val="none" w:sz="0" w:space="0" w:color="auto"/>
                <w:bottom w:val="none" w:sz="0" w:space="0" w:color="auto"/>
                <w:right w:val="none" w:sz="0" w:space="0" w:color="auto"/>
              </w:divBdr>
              <w:divsChild>
                <w:div w:id="441876460">
                  <w:marLeft w:val="0"/>
                  <w:marRight w:val="0"/>
                  <w:marTop w:val="0"/>
                  <w:marBottom w:val="0"/>
                  <w:divBdr>
                    <w:top w:val="none" w:sz="0" w:space="0" w:color="auto"/>
                    <w:left w:val="none" w:sz="0" w:space="0" w:color="auto"/>
                    <w:bottom w:val="none" w:sz="0" w:space="0" w:color="auto"/>
                    <w:right w:val="none" w:sz="0" w:space="0" w:color="auto"/>
                  </w:divBdr>
                  <w:divsChild>
                    <w:div w:id="16140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02219">
          <w:marLeft w:val="0"/>
          <w:marRight w:val="0"/>
          <w:marTop w:val="0"/>
          <w:marBottom w:val="120"/>
          <w:divBdr>
            <w:top w:val="none" w:sz="0" w:space="0" w:color="auto"/>
            <w:left w:val="none" w:sz="0" w:space="0" w:color="auto"/>
            <w:bottom w:val="single" w:sz="12" w:space="9" w:color="EBEBEB"/>
            <w:right w:val="none" w:sz="0" w:space="0" w:color="auto"/>
          </w:divBdr>
          <w:divsChild>
            <w:div w:id="1310094377">
              <w:marLeft w:val="0"/>
              <w:marRight w:val="0"/>
              <w:marTop w:val="100"/>
              <w:marBottom w:val="100"/>
              <w:divBdr>
                <w:top w:val="none" w:sz="0" w:space="0" w:color="auto"/>
                <w:left w:val="none" w:sz="0" w:space="0" w:color="auto"/>
                <w:bottom w:val="none" w:sz="0" w:space="0" w:color="auto"/>
                <w:right w:val="none" w:sz="0" w:space="0" w:color="auto"/>
              </w:divBdr>
              <w:divsChild>
                <w:div w:id="8158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4237">
      <w:bodyDiv w:val="1"/>
      <w:marLeft w:val="0"/>
      <w:marRight w:val="0"/>
      <w:marTop w:val="0"/>
      <w:marBottom w:val="0"/>
      <w:divBdr>
        <w:top w:val="none" w:sz="0" w:space="0" w:color="auto"/>
        <w:left w:val="none" w:sz="0" w:space="0" w:color="auto"/>
        <w:bottom w:val="none" w:sz="0" w:space="0" w:color="auto"/>
        <w:right w:val="none" w:sz="0" w:space="0" w:color="auto"/>
      </w:divBdr>
    </w:div>
    <w:div w:id="714626042">
      <w:bodyDiv w:val="1"/>
      <w:marLeft w:val="0"/>
      <w:marRight w:val="0"/>
      <w:marTop w:val="0"/>
      <w:marBottom w:val="0"/>
      <w:divBdr>
        <w:top w:val="none" w:sz="0" w:space="0" w:color="auto"/>
        <w:left w:val="none" w:sz="0" w:space="0" w:color="auto"/>
        <w:bottom w:val="none" w:sz="0" w:space="0" w:color="auto"/>
        <w:right w:val="none" w:sz="0" w:space="0" w:color="auto"/>
      </w:divBdr>
    </w:div>
    <w:div w:id="739139044">
      <w:bodyDiv w:val="1"/>
      <w:marLeft w:val="0"/>
      <w:marRight w:val="0"/>
      <w:marTop w:val="0"/>
      <w:marBottom w:val="0"/>
      <w:divBdr>
        <w:top w:val="none" w:sz="0" w:space="0" w:color="auto"/>
        <w:left w:val="none" w:sz="0" w:space="0" w:color="auto"/>
        <w:bottom w:val="none" w:sz="0" w:space="0" w:color="auto"/>
        <w:right w:val="none" w:sz="0" w:space="0" w:color="auto"/>
      </w:divBdr>
    </w:div>
    <w:div w:id="750079914">
      <w:bodyDiv w:val="1"/>
      <w:marLeft w:val="0"/>
      <w:marRight w:val="0"/>
      <w:marTop w:val="0"/>
      <w:marBottom w:val="0"/>
      <w:divBdr>
        <w:top w:val="none" w:sz="0" w:space="0" w:color="auto"/>
        <w:left w:val="none" w:sz="0" w:space="0" w:color="auto"/>
        <w:bottom w:val="none" w:sz="0" w:space="0" w:color="auto"/>
        <w:right w:val="none" w:sz="0" w:space="0" w:color="auto"/>
      </w:divBdr>
    </w:div>
    <w:div w:id="762649623">
      <w:bodyDiv w:val="1"/>
      <w:marLeft w:val="0"/>
      <w:marRight w:val="0"/>
      <w:marTop w:val="0"/>
      <w:marBottom w:val="0"/>
      <w:divBdr>
        <w:top w:val="none" w:sz="0" w:space="0" w:color="auto"/>
        <w:left w:val="none" w:sz="0" w:space="0" w:color="auto"/>
        <w:bottom w:val="none" w:sz="0" w:space="0" w:color="auto"/>
        <w:right w:val="none" w:sz="0" w:space="0" w:color="auto"/>
      </w:divBdr>
    </w:div>
    <w:div w:id="808788075">
      <w:bodyDiv w:val="1"/>
      <w:marLeft w:val="0"/>
      <w:marRight w:val="0"/>
      <w:marTop w:val="0"/>
      <w:marBottom w:val="0"/>
      <w:divBdr>
        <w:top w:val="none" w:sz="0" w:space="0" w:color="auto"/>
        <w:left w:val="none" w:sz="0" w:space="0" w:color="auto"/>
        <w:bottom w:val="none" w:sz="0" w:space="0" w:color="auto"/>
        <w:right w:val="none" w:sz="0" w:space="0" w:color="auto"/>
      </w:divBdr>
    </w:div>
    <w:div w:id="838040380">
      <w:bodyDiv w:val="1"/>
      <w:marLeft w:val="0"/>
      <w:marRight w:val="0"/>
      <w:marTop w:val="0"/>
      <w:marBottom w:val="0"/>
      <w:divBdr>
        <w:top w:val="none" w:sz="0" w:space="0" w:color="auto"/>
        <w:left w:val="none" w:sz="0" w:space="0" w:color="auto"/>
        <w:bottom w:val="none" w:sz="0" w:space="0" w:color="auto"/>
        <w:right w:val="none" w:sz="0" w:space="0" w:color="auto"/>
      </w:divBdr>
    </w:div>
    <w:div w:id="856117636">
      <w:bodyDiv w:val="1"/>
      <w:marLeft w:val="0"/>
      <w:marRight w:val="0"/>
      <w:marTop w:val="0"/>
      <w:marBottom w:val="0"/>
      <w:divBdr>
        <w:top w:val="none" w:sz="0" w:space="0" w:color="auto"/>
        <w:left w:val="none" w:sz="0" w:space="0" w:color="auto"/>
        <w:bottom w:val="none" w:sz="0" w:space="0" w:color="auto"/>
        <w:right w:val="none" w:sz="0" w:space="0" w:color="auto"/>
      </w:divBdr>
    </w:div>
    <w:div w:id="918637776">
      <w:bodyDiv w:val="1"/>
      <w:marLeft w:val="0"/>
      <w:marRight w:val="0"/>
      <w:marTop w:val="0"/>
      <w:marBottom w:val="0"/>
      <w:divBdr>
        <w:top w:val="none" w:sz="0" w:space="0" w:color="auto"/>
        <w:left w:val="none" w:sz="0" w:space="0" w:color="auto"/>
        <w:bottom w:val="none" w:sz="0" w:space="0" w:color="auto"/>
        <w:right w:val="none" w:sz="0" w:space="0" w:color="auto"/>
      </w:divBdr>
    </w:div>
    <w:div w:id="922183794">
      <w:bodyDiv w:val="1"/>
      <w:marLeft w:val="0"/>
      <w:marRight w:val="0"/>
      <w:marTop w:val="0"/>
      <w:marBottom w:val="0"/>
      <w:divBdr>
        <w:top w:val="none" w:sz="0" w:space="0" w:color="auto"/>
        <w:left w:val="none" w:sz="0" w:space="0" w:color="auto"/>
        <w:bottom w:val="none" w:sz="0" w:space="0" w:color="auto"/>
        <w:right w:val="none" w:sz="0" w:space="0" w:color="auto"/>
      </w:divBdr>
    </w:div>
    <w:div w:id="1010642177">
      <w:bodyDiv w:val="1"/>
      <w:marLeft w:val="0"/>
      <w:marRight w:val="0"/>
      <w:marTop w:val="0"/>
      <w:marBottom w:val="0"/>
      <w:divBdr>
        <w:top w:val="none" w:sz="0" w:space="0" w:color="auto"/>
        <w:left w:val="none" w:sz="0" w:space="0" w:color="auto"/>
        <w:bottom w:val="none" w:sz="0" w:space="0" w:color="auto"/>
        <w:right w:val="none" w:sz="0" w:space="0" w:color="auto"/>
      </w:divBdr>
    </w:div>
    <w:div w:id="1053385352">
      <w:bodyDiv w:val="1"/>
      <w:marLeft w:val="0"/>
      <w:marRight w:val="0"/>
      <w:marTop w:val="0"/>
      <w:marBottom w:val="0"/>
      <w:divBdr>
        <w:top w:val="none" w:sz="0" w:space="0" w:color="auto"/>
        <w:left w:val="none" w:sz="0" w:space="0" w:color="auto"/>
        <w:bottom w:val="none" w:sz="0" w:space="0" w:color="auto"/>
        <w:right w:val="none" w:sz="0" w:space="0" w:color="auto"/>
      </w:divBdr>
    </w:div>
    <w:div w:id="1109811123">
      <w:bodyDiv w:val="1"/>
      <w:marLeft w:val="0"/>
      <w:marRight w:val="0"/>
      <w:marTop w:val="0"/>
      <w:marBottom w:val="0"/>
      <w:divBdr>
        <w:top w:val="none" w:sz="0" w:space="0" w:color="auto"/>
        <w:left w:val="none" w:sz="0" w:space="0" w:color="auto"/>
        <w:bottom w:val="none" w:sz="0" w:space="0" w:color="auto"/>
        <w:right w:val="none" w:sz="0" w:space="0" w:color="auto"/>
      </w:divBdr>
    </w:div>
    <w:div w:id="1113863294">
      <w:bodyDiv w:val="1"/>
      <w:marLeft w:val="0"/>
      <w:marRight w:val="0"/>
      <w:marTop w:val="0"/>
      <w:marBottom w:val="0"/>
      <w:divBdr>
        <w:top w:val="none" w:sz="0" w:space="0" w:color="auto"/>
        <w:left w:val="none" w:sz="0" w:space="0" w:color="auto"/>
        <w:bottom w:val="none" w:sz="0" w:space="0" w:color="auto"/>
        <w:right w:val="none" w:sz="0" w:space="0" w:color="auto"/>
      </w:divBdr>
    </w:div>
    <w:div w:id="1150947652">
      <w:bodyDiv w:val="1"/>
      <w:marLeft w:val="0"/>
      <w:marRight w:val="0"/>
      <w:marTop w:val="0"/>
      <w:marBottom w:val="0"/>
      <w:divBdr>
        <w:top w:val="none" w:sz="0" w:space="0" w:color="auto"/>
        <w:left w:val="none" w:sz="0" w:space="0" w:color="auto"/>
        <w:bottom w:val="none" w:sz="0" w:space="0" w:color="auto"/>
        <w:right w:val="none" w:sz="0" w:space="0" w:color="auto"/>
      </w:divBdr>
    </w:div>
    <w:div w:id="1195849616">
      <w:bodyDiv w:val="1"/>
      <w:marLeft w:val="0"/>
      <w:marRight w:val="0"/>
      <w:marTop w:val="0"/>
      <w:marBottom w:val="0"/>
      <w:divBdr>
        <w:top w:val="none" w:sz="0" w:space="0" w:color="auto"/>
        <w:left w:val="none" w:sz="0" w:space="0" w:color="auto"/>
        <w:bottom w:val="none" w:sz="0" w:space="0" w:color="auto"/>
        <w:right w:val="none" w:sz="0" w:space="0" w:color="auto"/>
      </w:divBdr>
    </w:div>
    <w:div w:id="1197548018">
      <w:bodyDiv w:val="1"/>
      <w:marLeft w:val="0"/>
      <w:marRight w:val="0"/>
      <w:marTop w:val="0"/>
      <w:marBottom w:val="0"/>
      <w:divBdr>
        <w:top w:val="none" w:sz="0" w:space="0" w:color="auto"/>
        <w:left w:val="none" w:sz="0" w:space="0" w:color="auto"/>
        <w:bottom w:val="none" w:sz="0" w:space="0" w:color="auto"/>
        <w:right w:val="none" w:sz="0" w:space="0" w:color="auto"/>
      </w:divBdr>
    </w:div>
    <w:div w:id="1216619908">
      <w:bodyDiv w:val="1"/>
      <w:marLeft w:val="0"/>
      <w:marRight w:val="0"/>
      <w:marTop w:val="0"/>
      <w:marBottom w:val="0"/>
      <w:divBdr>
        <w:top w:val="none" w:sz="0" w:space="0" w:color="auto"/>
        <w:left w:val="none" w:sz="0" w:space="0" w:color="auto"/>
        <w:bottom w:val="none" w:sz="0" w:space="0" w:color="auto"/>
        <w:right w:val="none" w:sz="0" w:space="0" w:color="auto"/>
      </w:divBdr>
    </w:div>
    <w:div w:id="1243219083">
      <w:bodyDiv w:val="1"/>
      <w:marLeft w:val="0"/>
      <w:marRight w:val="0"/>
      <w:marTop w:val="0"/>
      <w:marBottom w:val="0"/>
      <w:divBdr>
        <w:top w:val="none" w:sz="0" w:space="0" w:color="auto"/>
        <w:left w:val="none" w:sz="0" w:space="0" w:color="auto"/>
        <w:bottom w:val="none" w:sz="0" w:space="0" w:color="auto"/>
        <w:right w:val="none" w:sz="0" w:space="0" w:color="auto"/>
      </w:divBdr>
    </w:div>
    <w:div w:id="1253470049">
      <w:bodyDiv w:val="1"/>
      <w:marLeft w:val="0"/>
      <w:marRight w:val="0"/>
      <w:marTop w:val="0"/>
      <w:marBottom w:val="0"/>
      <w:divBdr>
        <w:top w:val="none" w:sz="0" w:space="0" w:color="auto"/>
        <w:left w:val="none" w:sz="0" w:space="0" w:color="auto"/>
        <w:bottom w:val="none" w:sz="0" w:space="0" w:color="auto"/>
        <w:right w:val="none" w:sz="0" w:space="0" w:color="auto"/>
      </w:divBdr>
    </w:div>
    <w:div w:id="1300960255">
      <w:bodyDiv w:val="1"/>
      <w:marLeft w:val="0"/>
      <w:marRight w:val="0"/>
      <w:marTop w:val="0"/>
      <w:marBottom w:val="0"/>
      <w:divBdr>
        <w:top w:val="none" w:sz="0" w:space="0" w:color="auto"/>
        <w:left w:val="none" w:sz="0" w:space="0" w:color="auto"/>
        <w:bottom w:val="none" w:sz="0" w:space="0" w:color="auto"/>
        <w:right w:val="none" w:sz="0" w:space="0" w:color="auto"/>
      </w:divBdr>
    </w:div>
    <w:div w:id="1321078385">
      <w:bodyDiv w:val="1"/>
      <w:marLeft w:val="0"/>
      <w:marRight w:val="0"/>
      <w:marTop w:val="0"/>
      <w:marBottom w:val="0"/>
      <w:divBdr>
        <w:top w:val="none" w:sz="0" w:space="0" w:color="auto"/>
        <w:left w:val="none" w:sz="0" w:space="0" w:color="auto"/>
        <w:bottom w:val="none" w:sz="0" w:space="0" w:color="auto"/>
        <w:right w:val="none" w:sz="0" w:space="0" w:color="auto"/>
      </w:divBdr>
      <w:divsChild>
        <w:div w:id="618952381">
          <w:marLeft w:val="0"/>
          <w:marRight w:val="0"/>
          <w:marTop w:val="0"/>
          <w:marBottom w:val="0"/>
          <w:divBdr>
            <w:top w:val="none" w:sz="0" w:space="0" w:color="auto"/>
            <w:left w:val="none" w:sz="0" w:space="0" w:color="auto"/>
            <w:bottom w:val="none" w:sz="0" w:space="0" w:color="auto"/>
            <w:right w:val="none" w:sz="0" w:space="0" w:color="auto"/>
          </w:divBdr>
        </w:div>
        <w:div w:id="884104803">
          <w:marLeft w:val="0"/>
          <w:marRight w:val="0"/>
          <w:marTop w:val="0"/>
          <w:marBottom w:val="195"/>
          <w:divBdr>
            <w:top w:val="none" w:sz="0" w:space="0" w:color="auto"/>
            <w:left w:val="none" w:sz="0" w:space="0" w:color="auto"/>
            <w:bottom w:val="none" w:sz="0" w:space="0" w:color="auto"/>
            <w:right w:val="none" w:sz="0" w:space="0" w:color="auto"/>
          </w:divBdr>
        </w:div>
      </w:divsChild>
    </w:div>
    <w:div w:id="1331982720">
      <w:bodyDiv w:val="1"/>
      <w:marLeft w:val="0"/>
      <w:marRight w:val="0"/>
      <w:marTop w:val="0"/>
      <w:marBottom w:val="0"/>
      <w:divBdr>
        <w:top w:val="none" w:sz="0" w:space="0" w:color="auto"/>
        <w:left w:val="none" w:sz="0" w:space="0" w:color="auto"/>
        <w:bottom w:val="none" w:sz="0" w:space="0" w:color="auto"/>
        <w:right w:val="none" w:sz="0" w:space="0" w:color="auto"/>
      </w:divBdr>
    </w:div>
    <w:div w:id="1428891446">
      <w:bodyDiv w:val="1"/>
      <w:marLeft w:val="0"/>
      <w:marRight w:val="0"/>
      <w:marTop w:val="0"/>
      <w:marBottom w:val="0"/>
      <w:divBdr>
        <w:top w:val="none" w:sz="0" w:space="0" w:color="auto"/>
        <w:left w:val="none" w:sz="0" w:space="0" w:color="auto"/>
        <w:bottom w:val="none" w:sz="0" w:space="0" w:color="auto"/>
        <w:right w:val="none" w:sz="0" w:space="0" w:color="auto"/>
      </w:divBdr>
    </w:div>
    <w:div w:id="1440947553">
      <w:bodyDiv w:val="1"/>
      <w:marLeft w:val="0"/>
      <w:marRight w:val="0"/>
      <w:marTop w:val="0"/>
      <w:marBottom w:val="0"/>
      <w:divBdr>
        <w:top w:val="none" w:sz="0" w:space="0" w:color="auto"/>
        <w:left w:val="none" w:sz="0" w:space="0" w:color="auto"/>
        <w:bottom w:val="none" w:sz="0" w:space="0" w:color="auto"/>
        <w:right w:val="none" w:sz="0" w:space="0" w:color="auto"/>
      </w:divBdr>
    </w:div>
    <w:div w:id="1451970291">
      <w:bodyDiv w:val="1"/>
      <w:marLeft w:val="0"/>
      <w:marRight w:val="0"/>
      <w:marTop w:val="0"/>
      <w:marBottom w:val="0"/>
      <w:divBdr>
        <w:top w:val="none" w:sz="0" w:space="0" w:color="auto"/>
        <w:left w:val="none" w:sz="0" w:space="0" w:color="auto"/>
        <w:bottom w:val="none" w:sz="0" w:space="0" w:color="auto"/>
        <w:right w:val="none" w:sz="0" w:space="0" w:color="auto"/>
      </w:divBdr>
    </w:div>
    <w:div w:id="1452439610">
      <w:bodyDiv w:val="1"/>
      <w:marLeft w:val="0"/>
      <w:marRight w:val="0"/>
      <w:marTop w:val="0"/>
      <w:marBottom w:val="0"/>
      <w:divBdr>
        <w:top w:val="none" w:sz="0" w:space="0" w:color="auto"/>
        <w:left w:val="none" w:sz="0" w:space="0" w:color="auto"/>
        <w:bottom w:val="none" w:sz="0" w:space="0" w:color="auto"/>
        <w:right w:val="none" w:sz="0" w:space="0" w:color="auto"/>
      </w:divBdr>
    </w:div>
    <w:div w:id="1455706828">
      <w:bodyDiv w:val="1"/>
      <w:marLeft w:val="0"/>
      <w:marRight w:val="0"/>
      <w:marTop w:val="0"/>
      <w:marBottom w:val="0"/>
      <w:divBdr>
        <w:top w:val="none" w:sz="0" w:space="0" w:color="auto"/>
        <w:left w:val="none" w:sz="0" w:space="0" w:color="auto"/>
        <w:bottom w:val="none" w:sz="0" w:space="0" w:color="auto"/>
        <w:right w:val="none" w:sz="0" w:space="0" w:color="auto"/>
      </w:divBdr>
    </w:div>
    <w:div w:id="1467699415">
      <w:bodyDiv w:val="1"/>
      <w:marLeft w:val="0"/>
      <w:marRight w:val="0"/>
      <w:marTop w:val="0"/>
      <w:marBottom w:val="0"/>
      <w:divBdr>
        <w:top w:val="none" w:sz="0" w:space="0" w:color="auto"/>
        <w:left w:val="none" w:sz="0" w:space="0" w:color="auto"/>
        <w:bottom w:val="none" w:sz="0" w:space="0" w:color="auto"/>
        <w:right w:val="none" w:sz="0" w:space="0" w:color="auto"/>
      </w:divBdr>
    </w:div>
    <w:div w:id="1522933678">
      <w:bodyDiv w:val="1"/>
      <w:marLeft w:val="0"/>
      <w:marRight w:val="0"/>
      <w:marTop w:val="0"/>
      <w:marBottom w:val="0"/>
      <w:divBdr>
        <w:top w:val="none" w:sz="0" w:space="0" w:color="auto"/>
        <w:left w:val="none" w:sz="0" w:space="0" w:color="auto"/>
        <w:bottom w:val="none" w:sz="0" w:space="0" w:color="auto"/>
        <w:right w:val="none" w:sz="0" w:space="0" w:color="auto"/>
      </w:divBdr>
    </w:div>
    <w:div w:id="1665740735">
      <w:bodyDiv w:val="1"/>
      <w:marLeft w:val="0"/>
      <w:marRight w:val="0"/>
      <w:marTop w:val="0"/>
      <w:marBottom w:val="0"/>
      <w:divBdr>
        <w:top w:val="none" w:sz="0" w:space="0" w:color="auto"/>
        <w:left w:val="none" w:sz="0" w:space="0" w:color="auto"/>
        <w:bottom w:val="none" w:sz="0" w:space="0" w:color="auto"/>
        <w:right w:val="none" w:sz="0" w:space="0" w:color="auto"/>
      </w:divBdr>
    </w:div>
    <w:div w:id="1730499116">
      <w:bodyDiv w:val="1"/>
      <w:marLeft w:val="0"/>
      <w:marRight w:val="0"/>
      <w:marTop w:val="0"/>
      <w:marBottom w:val="0"/>
      <w:divBdr>
        <w:top w:val="none" w:sz="0" w:space="0" w:color="auto"/>
        <w:left w:val="none" w:sz="0" w:space="0" w:color="auto"/>
        <w:bottom w:val="none" w:sz="0" w:space="0" w:color="auto"/>
        <w:right w:val="none" w:sz="0" w:space="0" w:color="auto"/>
      </w:divBdr>
    </w:div>
    <w:div w:id="1779719244">
      <w:bodyDiv w:val="1"/>
      <w:marLeft w:val="0"/>
      <w:marRight w:val="0"/>
      <w:marTop w:val="0"/>
      <w:marBottom w:val="0"/>
      <w:divBdr>
        <w:top w:val="none" w:sz="0" w:space="0" w:color="auto"/>
        <w:left w:val="none" w:sz="0" w:space="0" w:color="auto"/>
        <w:bottom w:val="none" w:sz="0" w:space="0" w:color="auto"/>
        <w:right w:val="none" w:sz="0" w:space="0" w:color="auto"/>
      </w:divBdr>
    </w:div>
    <w:div w:id="1804733156">
      <w:bodyDiv w:val="1"/>
      <w:marLeft w:val="0"/>
      <w:marRight w:val="0"/>
      <w:marTop w:val="0"/>
      <w:marBottom w:val="0"/>
      <w:divBdr>
        <w:top w:val="none" w:sz="0" w:space="0" w:color="auto"/>
        <w:left w:val="none" w:sz="0" w:space="0" w:color="auto"/>
        <w:bottom w:val="none" w:sz="0" w:space="0" w:color="auto"/>
        <w:right w:val="none" w:sz="0" w:space="0" w:color="auto"/>
      </w:divBdr>
    </w:div>
    <w:div w:id="1866552263">
      <w:bodyDiv w:val="1"/>
      <w:marLeft w:val="0"/>
      <w:marRight w:val="0"/>
      <w:marTop w:val="0"/>
      <w:marBottom w:val="0"/>
      <w:divBdr>
        <w:top w:val="none" w:sz="0" w:space="0" w:color="auto"/>
        <w:left w:val="none" w:sz="0" w:space="0" w:color="auto"/>
        <w:bottom w:val="none" w:sz="0" w:space="0" w:color="auto"/>
        <w:right w:val="none" w:sz="0" w:space="0" w:color="auto"/>
      </w:divBdr>
    </w:div>
    <w:div w:id="1884246225">
      <w:bodyDiv w:val="1"/>
      <w:marLeft w:val="0"/>
      <w:marRight w:val="0"/>
      <w:marTop w:val="0"/>
      <w:marBottom w:val="0"/>
      <w:divBdr>
        <w:top w:val="none" w:sz="0" w:space="0" w:color="auto"/>
        <w:left w:val="none" w:sz="0" w:space="0" w:color="auto"/>
        <w:bottom w:val="none" w:sz="0" w:space="0" w:color="auto"/>
        <w:right w:val="none" w:sz="0" w:space="0" w:color="auto"/>
      </w:divBdr>
    </w:div>
    <w:div w:id="1885680891">
      <w:bodyDiv w:val="1"/>
      <w:marLeft w:val="0"/>
      <w:marRight w:val="0"/>
      <w:marTop w:val="0"/>
      <w:marBottom w:val="0"/>
      <w:divBdr>
        <w:top w:val="none" w:sz="0" w:space="0" w:color="auto"/>
        <w:left w:val="none" w:sz="0" w:space="0" w:color="auto"/>
        <w:bottom w:val="none" w:sz="0" w:space="0" w:color="auto"/>
        <w:right w:val="none" w:sz="0" w:space="0" w:color="auto"/>
      </w:divBdr>
    </w:div>
    <w:div w:id="2015378617">
      <w:bodyDiv w:val="1"/>
      <w:marLeft w:val="0"/>
      <w:marRight w:val="0"/>
      <w:marTop w:val="0"/>
      <w:marBottom w:val="0"/>
      <w:divBdr>
        <w:top w:val="none" w:sz="0" w:space="0" w:color="auto"/>
        <w:left w:val="none" w:sz="0" w:space="0" w:color="auto"/>
        <w:bottom w:val="none" w:sz="0" w:space="0" w:color="auto"/>
        <w:right w:val="none" w:sz="0" w:space="0" w:color="auto"/>
      </w:divBdr>
    </w:div>
    <w:div w:id="2034575087">
      <w:bodyDiv w:val="1"/>
      <w:marLeft w:val="0"/>
      <w:marRight w:val="0"/>
      <w:marTop w:val="0"/>
      <w:marBottom w:val="0"/>
      <w:divBdr>
        <w:top w:val="none" w:sz="0" w:space="0" w:color="auto"/>
        <w:left w:val="none" w:sz="0" w:space="0" w:color="auto"/>
        <w:bottom w:val="none" w:sz="0" w:space="0" w:color="auto"/>
        <w:right w:val="none" w:sz="0" w:space="0" w:color="auto"/>
      </w:divBdr>
    </w:div>
    <w:div w:id="2046296952">
      <w:bodyDiv w:val="1"/>
      <w:marLeft w:val="0"/>
      <w:marRight w:val="0"/>
      <w:marTop w:val="0"/>
      <w:marBottom w:val="0"/>
      <w:divBdr>
        <w:top w:val="none" w:sz="0" w:space="0" w:color="auto"/>
        <w:left w:val="none" w:sz="0" w:space="0" w:color="auto"/>
        <w:bottom w:val="none" w:sz="0" w:space="0" w:color="auto"/>
        <w:right w:val="none" w:sz="0" w:space="0" w:color="auto"/>
      </w:divBdr>
      <w:divsChild>
        <w:div w:id="46414335">
          <w:marLeft w:val="0"/>
          <w:marRight w:val="0"/>
          <w:marTop w:val="0"/>
          <w:marBottom w:val="0"/>
          <w:divBdr>
            <w:top w:val="none" w:sz="0" w:space="0" w:color="auto"/>
            <w:left w:val="none" w:sz="0" w:space="0" w:color="auto"/>
            <w:bottom w:val="none" w:sz="0" w:space="0" w:color="auto"/>
            <w:right w:val="none" w:sz="0" w:space="0" w:color="auto"/>
          </w:divBdr>
        </w:div>
        <w:div w:id="442502683">
          <w:marLeft w:val="0"/>
          <w:marRight w:val="0"/>
          <w:marTop w:val="0"/>
          <w:marBottom w:val="0"/>
          <w:divBdr>
            <w:top w:val="none" w:sz="0" w:space="0" w:color="auto"/>
            <w:left w:val="none" w:sz="0" w:space="0" w:color="auto"/>
            <w:bottom w:val="none" w:sz="0" w:space="0" w:color="auto"/>
            <w:right w:val="none" w:sz="0" w:space="0" w:color="auto"/>
          </w:divBdr>
        </w:div>
        <w:div w:id="552038208">
          <w:marLeft w:val="0"/>
          <w:marRight w:val="0"/>
          <w:marTop w:val="0"/>
          <w:marBottom w:val="0"/>
          <w:divBdr>
            <w:top w:val="none" w:sz="0" w:space="0" w:color="auto"/>
            <w:left w:val="none" w:sz="0" w:space="0" w:color="auto"/>
            <w:bottom w:val="none" w:sz="0" w:space="0" w:color="auto"/>
            <w:right w:val="none" w:sz="0" w:space="0" w:color="auto"/>
          </w:divBdr>
        </w:div>
        <w:div w:id="1113749353">
          <w:marLeft w:val="0"/>
          <w:marRight w:val="0"/>
          <w:marTop w:val="0"/>
          <w:marBottom w:val="0"/>
          <w:divBdr>
            <w:top w:val="none" w:sz="0" w:space="0" w:color="auto"/>
            <w:left w:val="none" w:sz="0" w:space="0" w:color="auto"/>
            <w:bottom w:val="none" w:sz="0" w:space="0" w:color="auto"/>
            <w:right w:val="none" w:sz="0" w:space="0" w:color="auto"/>
          </w:divBdr>
        </w:div>
        <w:div w:id="2035105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sv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sv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sv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image" Target="media/image17.png"/><Relationship Id="rId30" Type="http://schemas.openxmlformats.org/officeDocument/2006/relationships/image" Target="media/image20.sv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68b94d1-f089-4c47-abb6-20f20898a544">
      <UserInfo>
        <DisplayName>Amandine Rushenguziminega</DisplayName>
        <AccountId>14</AccountId>
        <AccountType/>
      </UserInfo>
      <UserInfo>
        <DisplayName>Anu Peltola</DisplayName>
        <AccountId>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A6480-047D-4886-B438-A9A266B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DCF79-E221-4B0B-82E3-3811EDC0E90F}">
  <ds:schemaRefs>
    <ds:schemaRef ds:uri="http://schemas.openxmlformats.org/officeDocument/2006/bibliography"/>
  </ds:schemaRefs>
</ds:datastoreItem>
</file>

<file path=customXml/itemProps3.xml><?xml version="1.0" encoding="utf-8"?>
<ds:datastoreItem xmlns:ds="http://schemas.openxmlformats.org/officeDocument/2006/customXml" ds:itemID="{5A0356C0-CCAF-424B-BB8B-56E1F56A4A45}">
  <ds:schemaRefs>
    <ds:schemaRef ds:uri="http://schemas.microsoft.com/office/2006/metadata/properties"/>
    <ds:schemaRef ds:uri="http://schemas.microsoft.com/office/infopath/2007/PartnerControls"/>
    <ds:schemaRef ds:uri="068b94d1-f089-4c47-abb6-20f20898a544"/>
  </ds:schemaRefs>
</ds:datastoreItem>
</file>

<file path=customXml/itemProps4.xml><?xml version="1.0" encoding="utf-8"?>
<ds:datastoreItem xmlns:ds="http://schemas.openxmlformats.org/officeDocument/2006/customXml" ds:itemID="{F0917363-9D56-4A3A-9B11-8677F0FFC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Links>
    <vt:vector size="888" baseType="variant">
      <vt:variant>
        <vt:i4>5701642</vt:i4>
      </vt:variant>
      <vt:variant>
        <vt:i4>945</vt:i4>
      </vt:variant>
      <vt:variant>
        <vt:i4>0</vt:i4>
      </vt:variant>
      <vt:variant>
        <vt:i4>5</vt:i4>
      </vt:variant>
      <vt:variant>
        <vt:lpwstr>http://documents1.worldbank.org/curated/en/193061468782370806/pdf/multi-page.pdf</vt:lpwstr>
      </vt:variant>
      <vt:variant>
        <vt:lpwstr/>
      </vt:variant>
      <vt:variant>
        <vt:i4>7929890</vt:i4>
      </vt:variant>
      <vt:variant>
        <vt:i4>942</vt:i4>
      </vt:variant>
      <vt:variant>
        <vt:i4>0</vt:i4>
      </vt:variant>
      <vt:variant>
        <vt:i4>5</vt:i4>
      </vt:variant>
      <vt:variant>
        <vt:lpwstr>https://www.wider.unu.edu/sites/default/files/Publications/Working-paper/PDF/wp2018-111.pdf</vt:lpwstr>
      </vt:variant>
      <vt:variant>
        <vt:lpwstr/>
      </vt:variant>
      <vt:variant>
        <vt:i4>6094969</vt:i4>
      </vt:variant>
      <vt:variant>
        <vt:i4>939</vt:i4>
      </vt:variant>
      <vt:variant>
        <vt:i4>0</vt:i4>
      </vt:variant>
      <vt:variant>
        <vt:i4>5</vt:i4>
      </vt:variant>
      <vt:variant>
        <vt:lpwstr>http://www.wcoomd.org/-/media/wco/public/global/pdf/media/newsroom/reports/2018/wco-study-report-on-iffs_tm.pdf?la=en</vt:lpwstr>
      </vt:variant>
      <vt:variant>
        <vt:lpwstr/>
      </vt:variant>
      <vt:variant>
        <vt:i4>4259917</vt:i4>
      </vt:variant>
      <vt:variant>
        <vt:i4>936</vt:i4>
      </vt:variant>
      <vt:variant>
        <vt:i4>0</vt:i4>
      </vt:variant>
      <vt:variant>
        <vt:i4>5</vt:i4>
      </vt:variant>
      <vt:variant>
        <vt:lpwstr>http://www.wcoomd.org/-/media/wco/public/global/pdf/topics/valuation/instruments-and-tools/guides/guidelines_national_db.pdf?db=web</vt:lpwstr>
      </vt:variant>
      <vt:variant>
        <vt:lpwstr/>
      </vt:variant>
      <vt:variant>
        <vt:i4>6750320</vt:i4>
      </vt:variant>
      <vt:variant>
        <vt:i4>933</vt:i4>
      </vt:variant>
      <vt:variant>
        <vt:i4>0</vt:i4>
      </vt:variant>
      <vt:variant>
        <vt:i4>5</vt:i4>
      </vt:variant>
      <vt:variant>
        <vt:lpwstr>https://www.unescwa.org/sites/www.unescwa.org/files/events/files/escwa_iff_17.5x25_en_lr.pdf</vt:lpwstr>
      </vt:variant>
      <vt:variant>
        <vt:lpwstr/>
      </vt:variant>
      <vt:variant>
        <vt:i4>458804</vt:i4>
      </vt:variant>
      <vt:variant>
        <vt:i4>930</vt:i4>
      </vt:variant>
      <vt:variant>
        <vt:i4>0</vt:i4>
      </vt:variant>
      <vt:variant>
        <vt:i4>5</vt:i4>
      </vt:variant>
      <vt:variant>
        <vt:lpwstr>https://repositorio.cepal.org/bitstream/handle/11362/40327/S1600797_en.pdf?sequence=50&amp;isAllowed=y</vt:lpwstr>
      </vt:variant>
      <vt:variant>
        <vt:lpwstr/>
      </vt:variant>
      <vt:variant>
        <vt:i4>589830</vt:i4>
      </vt:variant>
      <vt:variant>
        <vt:i4>927</vt:i4>
      </vt:variant>
      <vt:variant>
        <vt:i4>0</vt:i4>
      </vt:variant>
      <vt:variant>
        <vt:i4>5</vt:i4>
      </vt:variant>
      <vt:variant>
        <vt:lpwstr>https://unece.org/statistics/publications/guide-sharing-economic-data-official-statistics</vt:lpwstr>
      </vt:variant>
      <vt:variant>
        <vt:lpwstr/>
      </vt:variant>
      <vt:variant>
        <vt:i4>5898242</vt:i4>
      </vt:variant>
      <vt:variant>
        <vt:i4>924</vt:i4>
      </vt:variant>
      <vt:variant>
        <vt:i4>0</vt:i4>
      </vt:variant>
      <vt:variant>
        <vt:i4>5</vt:i4>
      </vt:variant>
      <vt:variant>
        <vt:lpwstr>https://www.uneca.org/sites/default/files/PublicationFiles/iff_main_report_26feb_en.pdf</vt:lpwstr>
      </vt:variant>
      <vt:variant>
        <vt:lpwstr/>
      </vt:variant>
      <vt:variant>
        <vt:i4>6357060</vt:i4>
      </vt:variant>
      <vt:variant>
        <vt:i4>921</vt:i4>
      </vt:variant>
      <vt:variant>
        <vt:i4>0</vt:i4>
      </vt:variant>
      <vt:variant>
        <vt:i4>5</vt:i4>
      </vt:variant>
      <vt:variant>
        <vt:lpwstr>https://unctad.org/system/files/official-document/aldcafrica2020_en.pdf</vt:lpwstr>
      </vt:variant>
      <vt:variant>
        <vt:lpwstr/>
      </vt:variant>
      <vt:variant>
        <vt:i4>2162730</vt:i4>
      </vt:variant>
      <vt:variant>
        <vt:i4>918</vt:i4>
      </vt:variant>
      <vt:variant>
        <vt:i4>0</vt:i4>
      </vt:variant>
      <vt:variant>
        <vt:i4>5</vt:i4>
      </vt:variant>
      <vt:variant>
        <vt:lpwstr>https://unstats.un.org/unsd/dnss/gp/fundprinciples.aspx</vt:lpwstr>
      </vt:variant>
      <vt:variant>
        <vt:lpwstr/>
      </vt:variant>
      <vt:variant>
        <vt:i4>7274546</vt:i4>
      </vt:variant>
      <vt:variant>
        <vt:i4>915</vt:i4>
      </vt:variant>
      <vt:variant>
        <vt:i4>0</vt:i4>
      </vt:variant>
      <vt:variant>
        <vt:i4>5</vt:i4>
      </vt:variant>
      <vt:variant>
        <vt:lpwstr>http://unstats.un.org/unsd/trade/EG-IMTS/IMTS2010-CM - white cover version.pdf</vt:lpwstr>
      </vt:variant>
      <vt:variant>
        <vt:lpwstr/>
      </vt:variant>
      <vt:variant>
        <vt:i4>6881392</vt:i4>
      </vt:variant>
      <vt:variant>
        <vt:i4>912</vt:i4>
      </vt:variant>
      <vt:variant>
        <vt:i4>0</vt:i4>
      </vt:variant>
      <vt:variant>
        <vt:i4>5</vt:i4>
      </vt:variant>
      <vt:variant>
        <vt:lpwstr>http://gabriel-zucman.eu/files/TWZ2020.pdf</vt:lpwstr>
      </vt:variant>
      <vt:variant>
        <vt:lpwstr/>
      </vt:variant>
      <vt:variant>
        <vt:i4>131084</vt:i4>
      </vt:variant>
      <vt:variant>
        <vt:i4>909</vt:i4>
      </vt:variant>
      <vt:variant>
        <vt:i4>0</vt:i4>
      </vt:variant>
      <vt:variant>
        <vt:i4>5</vt:i4>
      </vt:variant>
      <vt:variant>
        <vt:lpwstr>https://www.taxjustice.net/reports/the-state-of-tax-justice-2020/</vt:lpwstr>
      </vt:variant>
      <vt:variant>
        <vt:lpwstr/>
      </vt:variant>
      <vt:variant>
        <vt:i4>6815787</vt:i4>
      </vt:variant>
      <vt:variant>
        <vt:i4>906</vt:i4>
      </vt:variant>
      <vt:variant>
        <vt:i4>0</vt:i4>
      </vt:variant>
      <vt:variant>
        <vt:i4>5</vt:i4>
      </vt:variant>
      <vt:variant>
        <vt:lpwstr>https://fsi.taxjustice.net/en/</vt:lpwstr>
      </vt:variant>
      <vt:variant>
        <vt:lpwstr/>
      </vt:variant>
      <vt:variant>
        <vt:i4>4849672</vt:i4>
      </vt:variant>
      <vt:variant>
        <vt:i4>903</vt:i4>
      </vt:variant>
      <vt:variant>
        <vt:i4>0</vt:i4>
      </vt:variant>
      <vt:variant>
        <vt:i4>5</vt:i4>
      </vt:variant>
      <vt:variant>
        <vt:lpwstr>https://www.irs.gov/newsroom/the-tax-gap</vt:lpwstr>
      </vt:variant>
      <vt:variant>
        <vt:lpwstr/>
      </vt:variant>
      <vt:variant>
        <vt:i4>7077948</vt:i4>
      </vt:variant>
      <vt:variant>
        <vt:i4>900</vt:i4>
      </vt:variant>
      <vt:variant>
        <vt:i4>0</vt:i4>
      </vt:variant>
      <vt:variant>
        <vt:i4>5</vt:i4>
      </vt:variant>
      <vt:variant>
        <vt:lpwstr>http://www.taxresearch.org.uk/Documents/Secrecyjurisdiction.pdf</vt:lpwstr>
      </vt:variant>
      <vt:variant>
        <vt:lpwstr/>
      </vt:variant>
      <vt:variant>
        <vt:i4>3670130</vt:i4>
      </vt:variant>
      <vt:variant>
        <vt:i4>897</vt:i4>
      </vt:variant>
      <vt:variant>
        <vt:i4>0</vt:i4>
      </vt:variant>
      <vt:variant>
        <vt:i4>5</vt:i4>
      </vt:variant>
      <vt:variant>
        <vt:lpwstr>https://www150.statcan.gc.ca/n1/pub/13-605-x/2018001/article/54962-eng.pdf</vt:lpwstr>
      </vt:variant>
      <vt:variant>
        <vt:lpwstr/>
      </vt:variant>
      <vt:variant>
        <vt:i4>5505079</vt:i4>
      </vt:variant>
      <vt:variant>
        <vt:i4>894</vt:i4>
      </vt:variant>
      <vt:variant>
        <vt:i4>0</vt:i4>
      </vt:variant>
      <vt:variant>
        <vt:i4>5</vt:i4>
      </vt:variant>
      <vt:variant>
        <vt:lpwstr>https://unctad.org/system/files/official-document/ser-rp-2021d7_en.pdf</vt:lpwstr>
      </vt:variant>
      <vt:variant>
        <vt:lpwstr/>
      </vt:variant>
      <vt:variant>
        <vt:i4>458826</vt:i4>
      </vt:variant>
      <vt:variant>
        <vt:i4>891</vt:i4>
      </vt:variant>
      <vt:variant>
        <vt:i4>0</vt:i4>
      </vt:variant>
      <vt:variant>
        <vt:i4>5</vt:i4>
      </vt:variant>
      <vt:variant>
        <vt:lpwstr>https://www.vero.fi/globalassets/harmaa-talous-ja-talousrikollisuus/laajuus/kuvat-videot-ja-tiedostot/sis%C3%A4kauppapetokset.pdf</vt:lpwstr>
      </vt:variant>
      <vt:variant>
        <vt:lpwstr/>
      </vt:variant>
      <vt:variant>
        <vt:i4>7471138</vt:i4>
      </vt:variant>
      <vt:variant>
        <vt:i4>888</vt:i4>
      </vt:variant>
      <vt:variant>
        <vt:i4>0</vt:i4>
      </vt:variant>
      <vt:variant>
        <vt:i4>5</vt:i4>
      </vt:variant>
      <vt:variant>
        <vt:lpwstr>https://www.ons.gov.uk/economy/nationalaccounts/balanceofpayments/timeseries/ofnn/mret/previous/v24</vt:lpwstr>
      </vt:variant>
      <vt:variant>
        <vt:lpwstr/>
      </vt:variant>
      <vt:variant>
        <vt:i4>7667767</vt:i4>
      </vt:variant>
      <vt:variant>
        <vt:i4>885</vt:i4>
      </vt:variant>
      <vt:variant>
        <vt:i4>0</vt:i4>
      </vt:variant>
      <vt:variant>
        <vt:i4>5</vt:i4>
      </vt:variant>
      <vt:variant>
        <vt:lpwstr>https://www.one.org/international/policy/phantom-firms/</vt:lpwstr>
      </vt:variant>
      <vt:variant>
        <vt:lpwstr/>
      </vt:variant>
      <vt:variant>
        <vt:i4>6946937</vt:i4>
      </vt:variant>
      <vt:variant>
        <vt:i4>882</vt:i4>
      </vt:variant>
      <vt:variant>
        <vt:i4>0</vt:i4>
      </vt:variant>
      <vt:variant>
        <vt:i4>5</vt:i4>
      </vt:variant>
      <vt:variant>
        <vt:lpwstr>https://www.oecd.org/ctp/glossaryoftaxterms.htm</vt:lpwstr>
      </vt:variant>
      <vt:variant>
        <vt:lpwstr/>
      </vt:variant>
      <vt:variant>
        <vt:i4>4391003</vt:i4>
      </vt:variant>
      <vt:variant>
        <vt:i4>879</vt:i4>
      </vt:variant>
      <vt:variant>
        <vt:i4>0</vt:i4>
      </vt:variant>
      <vt:variant>
        <vt:i4>5</vt:i4>
      </vt:variant>
      <vt:variant>
        <vt:lpwstr>https://www.oecd-ilibrary.org/docserver/0e3cc2d4-en.pdf?expires=1617629872&amp;id=id&amp;accname=guest&amp;checksum=E7000DC6AB033F3169C28CE604A51FE2</vt:lpwstr>
      </vt:variant>
      <vt:variant>
        <vt:lpwstr/>
      </vt:variant>
      <vt:variant>
        <vt:i4>1507404</vt:i4>
      </vt:variant>
      <vt:variant>
        <vt:i4>876</vt:i4>
      </vt:variant>
      <vt:variant>
        <vt:i4>0</vt:i4>
      </vt:variant>
      <vt:variant>
        <vt:i4>5</vt:i4>
      </vt:variant>
      <vt:variant>
        <vt:lpwstr>https://www.oecd.org/tax/tax-policy/anonymised-and-aggregated-cbcr-statistics-disclaimer.pdf</vt:lpwstr>
      </vt:variant>
      <vt:variant>
        <vt:lpwstr/>
      </vt:variant>
      <vt:variant>
        <vt:i4>3997758</vt:i4>
      </vt:variant>
      <vt:variant>
        <vt:i4>873</vt:i4>
      </vt:variant>
      <vt:variant>
        <vt:i4>0</vt:i4>
      </vt:variant>
      <vt:variant>
        <vt:i4>5</vt:i4>
      </vt:variant>
      <vt:variant>
        <vt:lpwstr>https://doi.org/10.1787/tpg-2017-en.77</vt:lpwstr>
      </vt:variant>
      <vt:variant>
        <vt:lpwstr/>
      </vt:variant>
      <vt:variant>
        <vt:i4>5570680</vt:i4>
      </vt:variant>
      <vt:variant>
        <vt:i4>870</vt:i4>
      </vt:variant>
      <vt:variant>
        <vt:i4>0</vt:i4>
      </vt:variant>
      <vt:variant>
        <vt:i4>5</vt:i4>
      </vt:variant>
      <vt:variant>
        <vt:lpwstr>https://read.oecd-ilibrary.org/taxation/measuring-and-monitoring-beps-action-11-2015-final-report_9789264241343-en</vt:lpwstr>
      </vt:variant>
      <vt:variant>
        <vt:lpwstr>page1</vt:lpwstr>
      </vt:variant>
      <vt:variant>
        <vt:i4>7012359</vt:i4>
      </vt:variant>
      <vt:variant>
        <vt:i4>867</vt:i4>
      </vt:variant>
      <vt:variant>
        <vt:i4>0</vt:i4>
      </vt:variant>
      <vt:variant>
        <vt:i4>5</vt:i4>
      </vt:variant>
      <vt:variant>
        <vt:lpwstr>https://read.oecd-ilibrary.org/governance/annual-report-on-the-oecd-guidelines-for-multinational-enterprises-2006_mne-2006-en</vt:lpwstr>
      </vt:variant>
      <vt:variant>
        <vt:lpwstr>page4</vt:lpwstr>
      </vt:variant>
      <vt:variant>
        <vt:i4>4128800</vt:i4>
      </vt:variant>
      <vt:variant>
        <vt:i4>864</vt:i4>
      </vt:variant>
      <vt:variant>
        <vt:i4>0</vt:i4>
      </vt:variant>
      <vt:variant>
        <vt:i4>5</vt:i4>
      </vt:variant>
      <vt:variant>
        <vt:lpwstr>https://curbingiffsdotorg.files.wordpress.com/2020/03/lao-wp1_trademispricing_june2020.pdf</vt:lpwstr>
      </vt:variant>
      <vt:variant>
        <vt:lpwstr/>
      </vt:variant>
      <vt:variant>
        <vt:i4>4849731</vt:i4>
      </vt:variant>
      <vt:variant>
        <vt:i4>861</vt:i4>
      </vt:variant>
      <vt:variant>
        <vt:i4>0</vt:i4>
      </vt:variant>
      <vt:variant>
        <vt:i4>5</vt:i4>
      </vt:variant>
      <vt:variant>
        <vt:lpwstr>https://www.msci.com/acwi</vt:lpwstr>
      </vt:variant>
      <vt:variant>
        <vt:lpwstr/>
      </vt:variant>
      <vt:variant>
        <vt:i4>1638430</vt:i4>
      </vt:variant>
      <vt:variant>
        <vt:i4>858</vt:i4>
      </vt:variant>
      <vt:variant>
        <vt:i4>0</vt:i4>
      </vt:variant>
      <vt:variant>
        <vt:i4>5</vt:i4>
      </vt:variant>
      <vt:variant>
        <vt:lpwstr>https://www.oxfordreference.com/view/10.1093/acref/9780198294818.001.0001/acref-9780198294818</vt:lpwstr>
      </vt:variant>
      <vt:variant>
        <vt:lpwstr/>
      </vt:variant>
      <vt:variant>
        <vt:i4>4522001</vt:i4>
      </vt:variant>
      <vt:variant>
        <vt:i4>855</vt:i4>
      </vt:variant>
      <vt:variant>
        <vt:i4>0</vt:i4>
      </vt:variant>
      <vt:variant>
        <vt:i4>5</vt:i4>
      </vt:variant>
      <vt:variant>
        <vt:lpwstr>https://www.imf.org/en/Publications/WP/Issues/2018/01/25/Shadow-Economies-Around-the-World-What-Did-We-Learn-Over-the-Last-20-Years-45583</vt:lpwstr>
      </vt:variant>
      <vt:variant>
        <vt:lpwstr/>
      </vt:variant>
      <vt:variant>
        <vt:i4>6422550</vt:i4>
      </vt:variant>
      <vt:variant>
        <vt:i4>852</vt:i4>
      </vt:variant>
      <vt:variant>
        <vt:i4>0</vt:i4>
      </vt:variant>
      <vt:variant>
        <vt:i4>5</vt:i4>
      </vt:variant>
      <vt:variant>
        <vt:lpwstr>https://www.bis.org/publ/qtrpdf/r_qt1909b.pdf</vt:lpwstr>
      </vt:variant>
      <vt:variant>
        <vt:lpwstr/>
      </vt:variant>
      <vt:variant>
        <vt:i4>4980738</vt:i4>
      </vt:variant>
      <vt:variant>
        <vt:i4>849</vt:i4>
      </vt:variant>
      <vt:variant>
        <vt:i4>0</vt:i4>
      </vt:variant>
      <vt:variant>
        <vt:i4>5</vt:i4>
      </vt:variant>
      <vt:variant>
        <vt:lpwstr>https://alicelepissier.com/jupyter-book-IFF/welcome.html</vt:lpwstr>
      </vt:variant>
      <vt:variant>
        <vt:lpwstr/>
      </vt:variant>
      <vt:variant>
        <vt:i4>262174</vt:i4>
      </vt:variant>
      <vt:variant>
        <vt:i4>846</vt:i4>
      </vt:variant>
      <vt:variant>
        <vt:i4>0</vt:i4>
      </vt:variant>
      <vt:variant>
        <vt:i4>5</vt:i4>
      </vt:variant>
      <vt:variant>
        <vt:lpwstr>https://nta.confex.com/nta/2020/meetingapp.cgi/Paper/3750</vt:lpwstr>
      </vt:variant>
      <vt:variant>
        <vt:lpwstr/>
      </vt:variant>
      <vt:variant>
        <vt:i4>7995495</vt:i4>
      </vt:variant>
      <vt:variant>
        <vt:i4>843</vt:i4>
      </vt:variant>
      <vt:variant>
        <vt:i4>0</vt:i4>
      </vt:variant>
      <vt:variant>
        <vt:i4>5</vt:i4>
      </vt:variant>
      <vt:variant>
        <vt:lpwstr>https://www.unescap.org/sites/default/files/publications/Where_and_how_to_dodge_taxes_and_shift_money_abroad_using_trade_misinvoicing_A_beginner%E2%80%99s_guide_0.pdf</vt:lpwstr>
      </vt:variant>
      <vt:variant>
        <vt:lpwstr/>
      </vt:variant>
      <vt:variant>
        <vt:i4>4259842</vt:i4>
      </vt:variant>
      <vt:variant>
        <vt:i4>840</vt:i4>
      </vt:variant>
      <vt:variant>
        <vt:i4>0</vt:i4>
      </vt:variant>
      <vt:variant>
        <vt:i4>5</vt:i4>
      </vt:variant>
      <vt:variant>
        <vt:lpwstr>https://ace.soas.ac.uk/wp-content/uploads/2019/04/ACE-WorkingPaper010-IllicitFinancialFlows-181129-2.pdf</vt:lpwstr>
      </vt:variant>
      <vt:variant>
        <vt:lpwstr/>
      </vt:variant>
      <vt:variant>
        <vt:i4>3342415</vt:i4>
      </vt:variant>
      <vt:variant>
        <vt:i4>837</vt:i4>
      </vt:variant>
      <vt:variant>
        <vt:i4>0</vt:i4>
      </vt:variant>
      <vt:variant>
        <vt:i4>5</vt:i4>
      </vt:variant>
      <vt:variant>
        <vt:lpwstr>https://papers.ssrn.com/sol3/papers.cfm?abstract_id=2335028</vt:lpwstr>
      </vt:variant>
      <vt:variant>
        <vt:lpwstr/>
      </vt:variant>
      <vt:variant>
        <vt:i4>6094912</vt:i4>
      </vt:variant>
      <vt:variant>
        <vt:i4>834</vt:i4>
      </vt:variant>
      <vt:variant>
        <vt:i4>0</vt:i4>
      </vt:variant>
      <vt:variant>
        <vt:i4>5</vt:i4>
      </vt:variant>
      <vt:variant>
        <vt:lpwstr>https://www.gfintegrity.org/wp-content/uploads/2014/05/Illicit_Financial_Flows_from_Developing_Countries_2001-2010-HighRes.pdf</vt:lpwstr>
      </vt:variant>
      <vt:variant>
        <vt:lpwstr/>
      </vt:variant>
      <vt:variant>
        <vt:i4>2162742</vt:i4>
      </vt:variant>
      <vt:variant>
        <vt:i4>831</vt:i4>
      </vt:variant>
      <vt:variant>
        <vt:i4>0</vt:i4>
      </vt:variant>
      <vt:variant>
        <vt:i4>5</vt:i4>
      </vt:variant>
      <vt:variant>
        <vt:lpwstr>https://doi.org/10.1007/s10797-019-09547-8</vt:lpwstr>
      </vt:variant>
      <vt:variant>
        <vt:lpwstr/>
      </vt:variant>
      <vt:variant>
        <vt:i4>3538981</vt:i4>
      </vt:variant>
      <vt:variant>
        <vt:i4>828</vt:i4>
      </vt:variant>
      <vt:variant>
        <vt:i4>0</vt:i4>
      </vt:variant>
      <vt:variant>
        <vt:i4>5</vt:i4>
      </vt:variant>
      <vt:variant>
        <vt:lpwstr>https://www.imf.org/external/pubs/ft/bop/2019/pdf/19-03.pdf</vt:lpwstr>
      </vt:variant>
      <vt:variant>
        <vt:lpwstr/>
      </vt:variant>
      <vt:variant>
        <vt:i4>3604516</vt:i4>
      </vt:variant>
      <vt:variant>
        <vt:i4>825</vt:i4>
      </vt:variant>
      <vt:variant>
        <vt:i4>0</vt:i4>
      </vt:variant>
      <vt:variant>
        <vt:i4>5</vt:i4>
      </vt:variant>
      <vt:variant>
        <vt:lpwstr>https://www.imf.org/external/pubs/ft/bop/2018/pdf/18-03.pdf</vt:lpwstr>
      </vt:variant>
      <vt:variant>
        <vt:lpwstr/>
      </vt:variant>
      <vt:variant>
        <vt:i4>1572943</vt:i4>
      </vt:variant>
      <vt:variant>
        <vt:i4>822</vt:i4>
      </vt:variant>
      <vt:variant>
        <vt:i4>0</vt:i4>
      </vt:variant>
      <vt:variant>
        <vt:i4>5</vt:i4>
      </vt:variant>
      <vt:variant>
        <vt:lpwstr>https://www.imf.org/external/pubs/ft/scr/2015/cr15180.pdf</vt:lpwstr>
      </vt:variant>
      <vt:variant>
        <vt:lpwstr/>
      </vt:variant>
      <vt:variant>
        <vt:i4>917601</vt:i4>
      </vt:variant>
      <vt:variant>
        <vt:i4>819</vt:i4>
      </vt:variant>
      <vt:variant>
        <vt:i4>0</vt:i4>
      </vt:variant>
      <vt:variant>
        <vt:i4>5</vt:i4>
      </vt:variant>
      <vt:variant>
        <vt:lpwstr>http://www.ilo.org/ilc/ILCSessions/104/texts-adopted/WCMS_377774/lang--en/index.htm</vt:lpwstr>
      </vt:variant>
      <vt:variant>
        <vt:lpwstr/>
      </vt:variant>
      <vt:variant>
        <vt:i4>4784193</vt:i4>
      </vt:variant>
      <vt:variant>
        <vt:i4>816</vt:i4>
      </vt:variant>
      <vt:variant>
        <vt:i4>0</vt:i4>
      </vt:variant>
      <vt:variant>
        <vt:i4>5</vt:i4>
      </vt:variant>
      <vt:variant>
        <vt:lpwstr>https://unstats.un.org/unsd/statcom/50th-session/documents/BG-3a-Best-Practices-in-Data-Flows-and-Global-Data-Reporting-for-theSDGs-E.pdf</vt:lpwstr>
      </vt:variant>
      <vt:variant>
        <vt:lpwstr/>
      </vt:variant>
      <vt:variant>
        <vt:i4>7798811</vt:i4>
      </vt:variant>
      <vt:variant>
        <vt:i4>813</vt:i4>
      </vt:variant>
      <vt:variant>
        <vt:i4>0</vt:i4>
      </vt:variant>
      <vt:variant>
        <vt:i4>5</vt:i4>
      </vt:variant>
      <vt:variant>
        <vt:lpwstr>https://www.researchgate.net/publication/228807850_Usable_Data_Matched_Partner_Trade_Statistics_as_a_Measure_of_International_Transportation_Costs/download</vt:lpwstr>
      </vt:variant>
      <vt:variant>
        <vt:lpwstr/>
      </vt:variant>
      <vt:variant>
        <vt:i4>2490414</vt:i4>
      </vt:variant>
      <vt:variant>
        <vt:i4>810</vt:i4>
      </vt:variant>
      <vt:variant>
        <vt:i4>0</vt:i4>
      </vt:variant>
      <vt:variant>
        <vt:i4>5</vt:i4>
      </vt:variant>
      <vt:variant>
        <vt:lpwstr>https://www.imf.org/-/media/Files/Publications/WP/2021/English/wpiea2021041-print-pdf.ashx</vt:lpwstr>
      </vt:variant>
      <vt:variant>
        <vt:lpwstr/>
      </vt:variant>
      <vt:variant>
        <vt:i4>3539035</vt:i4>
      </vt:variant>
      <vt:variant>
        <vt:i4>807</vt:i4>
      </vt:variant>
      <vt:variant>
        <vt:i4>0</vt:i4>
      </vt:variant>
      <vt:variant>
        <vt:i4>5</vt:i4>
      </vt:variant>
      <vt:variant>
        <vt:lpwstr>https://www.cepal.org/sites/default/files/publication/files/44716/RVI127_Hanni.pdf</vt:lpwstr>
      </vt:variant>
      <vt:variant>
        <vt:lpwstr/>
      </vt:variant>
      <vt:variant>
        <vt:i4>3211389</vt:i4>
      </vt:variant>
      <vt:variant>
        <vt:i4>804</vt:i4>
      </vt:variant>
      <vt:variant>
        <vt:i4>0</vt:i4>
      </vt:variant>
      <vt:variant>
        <vt:i4>5</vt:i4>
      </vt:variant>
      <vt:variant>
        <vt:lpwstr>https://doi.org/10.1093/jeg/lbu003</vt:lpwstr>
      </vt:variant>
      <vt:variant>
        <vt:lpwstr/>
      </vt:variant>
      <vt:variant>
        <vt:i4>2031730</vt:i4>
      </vt:variant>
      <vt:variant>
        <vt:i4>801</vt:i4>
      </vt:variant>
      <vt:variant>
        <vt:i4>0</vt:i4>
      </vt:variant>
      <vt:variant>
        <vt:i4>5</vt:i4>
      </vt:variant>
      <vt:variant>
        <vt:lpwstr>https://secureservercdn.net/45.40.149.159/34n.8bd.myftpupload.com/wp-content/uploads/2019/01/IFF-Report-2019_11.18.19.pdf?time=1603280556</vt:lpwstr>
      </vt:variant>
      <vt:variant>
        <vt:lpwstr/>
      </vt:variant>
      <vt:variant>
        <vt:i4>7995433</vt:i4>
      </vt:variant>
      <vt:variant>
        <vt:i4>798</vt:i4>
      </vt:variant>
      <vt:variant>
        <vt:i4>0</vt:i4>
      </vt:variant>
      <vt:variant>
        <vt:i4>5</vt:i4>
      </vt:variant>
      <vt:variant>
        <vt:lpwstr>http://www.cepii.fr/baci_data/freight_rates/freight_rates_doc.pdf</vt:lpwstr>
      </vt:variant>
      <vt:variant>
        <vt:lpwstr/>
      </vt:variant>
      <vt:variant>
        <vt:i4>1114151</vt:i4>
      </vt:variant>
      <vt:variant>
        <vt:i4>795</vt:i4>
      </vt:variant>
      <vt:variant>
        <vt:i4>0</vt:i4>
      </vt:variant>
      <vt:variant>
        <vt:i4>5</vt:i4>
      </vt:variant>
      <vt:variant>
        <vt:lpwstr>https://opendocs.ids.ac.uk/opendocs/bitstream/handle/20.500.12413/16467/ICTD_WP119.pdf?sequence=1&amp;isAllowed=y</vt:lpwstr>
      </vt:variant>
      <vt:variant>
        <vt:lpwstr/>
      </vt:variant>
      <vt:variant>
        <vt:i4>7995509</vt:i4>
      </vt:variant>
      <vt:variant>
        <vt:i4>792</vt:i4>
      </vt:variant>
      <vt:variant>
        <vt:i4>0</vt:i4>
      </vt:variant>
      <vt:variant>
        <vt:i4>5</vt:i4>
      </vt:variant>
      <vt:variant>
        <vt:lpwstr>http://dx.doi.org/10.2139/ssrn.2758566</vt:lpwstr>
      </vt:variant>
      <vt:variant>
        <vt:lpwstr/>
      </vt:variant>
      <vt:variant>
        <vt:i4>1376335</vt:i4>
      </vt:variant>
      <vt:variant>
        <vt:i4>789</vt:i4>
      </vt:variant>
      <vt:variant>
        <vt:i4>0</vt:i4>
      </vt:variant>
      <vt:variant>
        <vt:i4>5</vt:i4>
      </vt:variant>
      <vt:variant>
        <vt:lpwstr>https://www150.statcan.gc.ca/n1/pub/11-621-m/11-621-m2019002-eng.htm</vt:lpwstr>
      </vt:variant>
      <vt:variant>
        <vt:lpwstr/>
      </vt:variant>
      <vt:variant>
        <vt:i4>6946850</vt:i4>
      </vt:variant>
      <vt:variant>
        <vt:i4>786</vt:i4>
      </vt:variant>
      <vt:variant>
        <vt:i4>0</vt:i4>
      </vt:variant>
      <vt:variant>
        <vt:i4>5</vt:i4>
      </vt:variant>
      <vt:variant>
        <vt:lpwstr>https://developingeconomics.org/2020/11/24/haemorrhaging-zambia-prequel-to-the-current-debt-crisis/</vt:lpwstr>
      </vt:variant>
      <vt:variant>
        <vt:lpwstr/>
      </vt:variant>
      <vt:variant>
        <vt:i4>4259871</vt:i4>
      </vt:variant>
      <vt:variant>
        <vt:i4>783</vt:i4>
      </vt:variant>
      <vt:variant>
        <vt:i4>0</vt:i4>
      </vt:variant>
      <vt:variant>
        <vt:i4>5</vt:i4>
      </vt:variant>
      <vt:variant>
        <vt:lpwstr>https://www.europol.europa.eu/newsroom/news/carousel-of-vat-abuse-dozens-arrested-in-connection-multi-million-tax-evasion-schemes</vt:lpwstr>
      </vt:variant>
      <vt:variant>
        <vt:lpwstr/>
      </vt:variant>
      <vt:variant>
        <vt:i4>6750298</vt:i4>
      </vt:variant>
      <vt:variant>
        <vt:i4>780</vt:i4>
      </vt:variant>
      <vt:variant>
        <vt:i4>0</vt:i4>
      </vt:variant>
      <vt:variant>
        <vt:i4>5</vt:i4>
      </vt:variant>
      <vt:variant>
        <vt:lpwstr>https://www.europarl.europa.eu/cmsdata/155724/EPRS_STUD_627129_Shell companies in the EU.pdf</vt:lpwstr>
      </vt:variant>
      <vt:variant>
        <vt:lpwstr/>
      </vt:variant>
      <vt:variant>
        <vt:i4>7471166</vt:i4>
      </vt:variant>
      <vt:variant>
        <vt:i4>777</vt:i4>
      </vt:variant>
      <vt:variant>
        <vt:i4>0</vt:i4>
      </vt:variant>
      <vt:variant>
        <vt:i4>5</vt:i4>
      </vt:variant>
      <vt:variant>
        <vt:lpwstr>https://ec.europa.eu/eurostat/web/structural-business-statistics/structural-business-statistics/eurogroups-register</vt:lpwstr>
      </vt:variant>
      <vt:variant>
        <vt:lpwstr/>
      </vt:variant>
      <vt:variant>
        <vt:i4>1114237</vt:i4>
      </vt:variant>
      <vt:variant>
        <vt:i4>774</vt:i4>
      </vt:variant>
      <vt:variant>
        <vt:i4>0</vt:i4>
      </vt:variant>
      <vt:variant>
        <vt:i4>5</vt:i4>
      </vt:variant>
      <vt:variant>
        <vt:lpwstr>https://knowledge4policy.ec.europa.eu/composite-indicators_en</vt:lpwstr>
      </vt:variant>
      <vt:variant>
        <vt:lpwstr/>
      </vt:variant>
      <vt:variant>
        <vt:i4>5111911</vt:i4>
      </vt:variant>
      <vt:variant>
        <vt:i4>771</vt:i4>
      </vt:variant>
      <vt:variant>
        <vt:i4>0</vt:i4>
      </vt:variant>
      <vt:variant>
        <vt:i4>5</vt:i4>
      </vt:variant>
      <vt:variant>
        <vt:lpwstr>https://ec.europa.eu/taxation_customs/sites/taxation/files/2019-taxation-papers-76.pdf</vt:lpwstr>
      </vt:variant>
      <vt:variant>
        <vt:lpwstr/>
      </vt:variant>
      <vt:variant>
        <vt:i4>1638475</vt:i4>
      </vt:variant>
      <vt:variant>
        <vt:i4>768</vt:i4>
      </vt:variant>
      <vt:variant>
        <vt:i4>0</vt:i4>
      </vt:variant>
      <vt:variant>
        <vt:i4>5</vt:i4>
      </vt:variant>
      <vt:variant>
        <vt:lpwstr>https://ec.europa.eu/taxation_customs/sites/taxation/files/tax_gaps_report_mtic_fraud_gap_estimation_methodologies.pdf</vt:lpwstr>
      </vt:variant>
      <vt:variant>
        <vt:lpwstr/>
      </vt:variant>
      <vt:variant>
        <vt:i4>3604531</vt:i4>
      </vt:variant>
      <vt:variant>
        <vt:i4>765</vt:i4>
      </vt:variant>
      <vt:variant>
        <vt:i4>0</vt:i4>
      </vt:variant>
      <vt:variant>
        <vt:i4>5</vt:i4>
      </vt:variant>
      <vt:variant>
        <vt:lpwstr>https://ec.europa.eu/eurostat/documents/3859598/8714610/KS-05-17-202-EN-N.pdf/eaf638df-17dc-47a1-9ab7-fe68476100ec</vt:lpwstr>
      </vt:variant>
      <vt:variant>
        <vt:lpwstr/>
      </vt:variant>
      <vt:variant>
        <vt:i4>7471134</vt:i4>
      </vt:variant>
      <vt:variant>
        <vt:i4>762</vt:i4>
      </vt:variant>
      <vt:variant>
        <vt:i4>0</vt:i4>
      </vt:variant>
      <vt:variant>
        <vt:i4>5</vt:i4>
      </vt:variant>
      <vt:variant>
        <vt:lpwstr>https://ec.europa.eu/taxation_customs/sites/taxation/files/taxation_papers_71_atp_.pdf</vt:lpwstr>
      </vt:variant>
      <vt:variant>
        <vt:lpwstr/>
      </vt:variant>
      <vt:variant>
        <vt:i4>5636173</vt:i4>
      </vt:variant>
      <vt:variant>
        <vt:i4>759</vt:i4>
      </vt:variant>
      <vt:variant>
        <vt:i4>0</vt:i4>
      </vt:variant>
      <vt:variant>
        <vt:i4>5</vt:i4>
      </vt:variant>
      <vt:variant>
        <vt:lpwstr>https://ec.europa.eu/taxation_customs/sites/taxation/files/resources/documents/common/publications/studies/ey_study_destination_principle.pdf</vt:lpwstr>
      </vt:variant>
      <vt:variant>
        <vt:lpwstr/>
      </vt:variant>
      <vt:variant>
        <vt:i4>7143550</vt:i4>
      </vt:variant>
      <vt:variant>
        <vt:i4>756</vt:i4>
      </vt:variant>
      <vt:variant>
        <vt:i4>0</vt:i4>
      </vt:variant>
      <vt:variant>
        <vt:i4>5</vt:i4>
      </vt:variant>
      <vt:variant>
        <vt:lpwstr>http://ec.europa.eu/eurostat/documents/3888793/5845745/KS-RA-09-016-EN.PDF/520b191f-32d9-41c4-b19e-ac820d651756?version=1.0</vt:lpwstr>
      </vt:variant>
      <vt:variant>
        <vt:lpwstr/>
      </vt:variant>
      <vt:variant>
        <vt:i4>20</vt:i4>
      </vt:variant>
      <vt:variant>
        <vt:i4>753</vt:i4>
      </vt:variant>
      <vt:variant>
        <vt:i4>0</vt:i4>
      </vt:variant>
      <vt:variant>
        <vt:i4>5</vt:i4>
      </vt:variant>
      <vt:variant>
        <vt:lpwstr>https://ssrn.com/abstract=2336997</vt:lpwstr>
      </vt:variant>
      <vt:variant>
        <vt:lpwstr/>
      </vt:variant>
      <vt:variant>
        <vt:i4>262215</vt:i4>
      </vt:variant>
      <vt:variant>
        <vt:i4>750</vt:i4>
      </vt:variant>
      <vt:variant>
        <vt:i4>0</vt:i4>
      </vt:variant>
      <vt:variant>
        <vt:i4>5</vt:i4>
      </vt:variant>
      <vt:variant>
        <vt:lpwstr>https://www.imf.org/external/pubs/ft/wp/2015/wp15118.pdf</vt:lpwstr>
      </vt:variant>
      <vt:variant>
        <vt:lpwstr/>
      </vt:variant>
      <vt:variant>
        <vt:i4>7602281</vt:i4>
      </vt:variant>
      <vt:variant>
        <vt:i4>747</vt:i4>
      </vt:variant>
      <vt:variant>
        <vt:i4>0</vt:i4>
      </vt:variant>
      <vt:variant>
        <vt:i4>5</vt:i4>
      </vt:variant>
      <vt:variant>
        <vt:lpwstr>https://doi.org/10.1093/oso/9780198854418.001.0001</vt:lpwstr>
      </vt:variant>
      <vt:variant>
        <vt:lpwstr/>
      </vt:variant>
      <vt:variant>
        <vt:i4>2359344</vt:i4>
      </vt:variant>
      <vt:variant>
        <vt:i4>744</vt:i4>
      </vt:variant>
      <vt:variant>
        <vt:i4>0</vt:i4>
      </vt:variant>
      <vt:variant>
        <vt:i4>5</vt:i4>
      </vt:variant>
      <vt:variant>
        <vt:lpwstr>https://uif.bancaditalia.it/pubblicazioni/quaderni/2014/quaderni-analisi-studi-2014-1/Quaderno_Analisi_studi_1.pdf?language_id=1</vt:lpwstr>
      </vt:variant>
      <vt:variant>
        <vt:lpwstr/>
      </vt:variant>
      <vt:variant>
        <vt:i4>1835061</vt:i4>
      </vt:variant>
      <vt:variant>
        <vt:i4>741</vt:i4>
      </vt:variant>
      <vt:variant>
        <vt:i4>0</vt:i4>
      </vt:variant>
      <vt:variant>
        <vt:i4>5</vt:i4>
      </vt:variant>
      <vt:variant>
        <vt:lpwstr>https://curbingiffsdotorg.files.wordpress.com/2020/06/r4d_wp1_abnormalpricing_june2020.pdf</vt:lpwstr>
      </vt:variant>
      <vt:variant>
        <vt:lpwstr/>
      </vt:variant>
      <vt:variant>
        <vt:i4>7012386</vt:i4>
      </vt:variant>
      <vt:variant>
        <vt:i4>738</vt:i4>
      </vt:variant>
      <vt:variant>
        <vt:i4>0</vt:i4>
      </vt:variant>
      <vt:variant>
        <vt:i4>5</vt:i4>
      </vt:variant>
      <vt:variant>
        <vt:lpwstr>https://curbingiffsdotorg.files.wordpress.com/2019/12/r4d-iff-wp01-2018-dec2019.pdf</vt:lpwstr>
      </vt:variant>
      <vt:variant>
        <vt:lpwstr/>
      </vt:variant>
      <vt:variant>
        <vt:i4>917617</vt:i4>
      </vt:variant>
      <vt:variant>
        <vt:i4>735</vt:i4>
      </vt:variant>
      <vt:variant>
        <vt:i4>0</vt:i4>
      </vt:variant>
      <vt:variant>
        <vt:i4>5</vt:i4>
      </vt:variant>
      <vt:variant>
        <vt:lpwstr>https://www.nber.org/system/files/working_papers/w24915/w24915.pdf</vt:lpwstr>
      </vt:variant>
      <vt:variant>
        <vt:lpwstr/>
      </vt:variant>
      <vt:variant>
        <vt:i4>6684731</vt:i4>
      </vt:variant>
      <vt:variant>
        <vt:i4>732</vt:i4>
      </vt:variant>
      <vt:variant>
        <vt:i4>0</vt:i4>
      </vt:variant>
      <vt:variant>
        <vt:i4>5</vt:i4>
      </vt:variant>
      <vt:variant>
        <vt:lpwstr>https://curbingiffsdotorg.files.wordpress.com/2019/02/r4d_iff_valuechainriskmaps-1.pdf</vt:lpwstr>
      </vt:variant>
      <vt:variant>
        <vt:lpwstr/>
      </vt:variant>
      <vt:variant>
        <vt:i4>5636174</vt:i4>
      </vt:variant>
      <vt:variant>
        <vt:i4>729</vt:i4>
      </vt:variant>
      <vt:variant>
        <vt:i4>0</vt:i4>
      </vt:variant>
      <vt:variant>
        <vt:i4>5</vt:i4>
      </vt:variant>
      <vt:variant>
        <vt:lpwstr>https://www.finanze.gov.it/export/sites/finanze/.galleries/Documenti/Varie/Assessing-profit-shifting-using-Country-by-Country-Reports-Bratta-Santomartino-Acciari-2021-19-02.pdf</vt:lpwstr>
      </vt:variant>
      <vt:variant>
        <vt:lpwstr/>
      </vt:variant>
      <vt:variant>
        <vt:i4>7340159</vt:i4>
      </vt:variant>
      <vt:variant>
        <vt:i4>726</vt:i4>
      </vt:variant>
      <vt:variant>
        <vt:i4>0</vt:i4>
      </vt:variant>
      <vt:variant>
        <vt:i4>5</vt:i4>
      </vt:variant>
      <vt:variant>
        <vt:lpwstr>http://dx.doi.org/10.2139/ssrn.3682277</vt:lpwstr>
      </vt:variant>
      <vt:variant>
        <vt:lpwstr/>
      </vt:variant>
      <vt:variant>
        <vt:i4>1114182</vt:i4>
      </vt:variant>
      <vt:variant>
        <vt:i4>723</vt:i4>
      </vt:variant>
      <vt:variant>
        <vt:i4>0</vt:i4>
      </vt:variant>
      <vt:variant>
        <vt:i4>5</vt:i4>
      </vt:variant>
      <vt:variant>
        <vt:lpwstr>https://www.imf.org/en/Publications/WP/Issues/2018/07/23/International-Corporate-Tax-Avoidance-A-Review-of-the-Channels-Effect-Size-and-Blind-Spots-45999</vt:lpwstr>
      </vt:variant>
      <vt:variant>
        <vt:lpwstr/>
      </vt:variant>
      <vt:variant>
        <vt:i4>4784221</vt:i4>
      </vt:variant>
      <vt:variant>
        <vt:i4>720</vt:i4>
      </vt:variant>
      <vt:variant>
        <vt:i4>0</vt:i4>
      </vt:variant>
      <vt:variant>
        <vt:i4>5</vt:i4>
      </vt:variant>
      <vt:variant>
        <vt:lpwstr>https://www.ato.gov.au/about-ato/research-and-statistics/in-detail/tax-gap/australian-tax-gaps-overview/</vt:lpwstr>
      </vt:variant>
      <vt:variant>
        <vt:lpwstr/>
      </vt:variant>
      <vt:variant>
        <vt:i4>6946910</vt:i4>
      </vt:variant>
      <vt:variant>
        <vt:i4>717</vt:i4>
      </vt:variant>
      <vt:variant>
        <vt:i4>0</vt:i4>
      </vt:variant>
      <vt:variant>
        <vt:i4>5</vt:i4>
      </vt:variant>
      <vt:variant>
        <vt:lpwstr>https://unctad.org/system/files/official-document/ser-rp-2020d16_en.pdf</vt:lpwstr>
      </vt:variant>
      <vt:variant>
        <vt:lpwstr/>
      </vt:variant>
      <vt:variant>
        <vt:i4>4718668</vt:i4>
      </vt:variant>
      <vt:variant>
        <vt:i4>714</vt:i4>
      </vt:variant>
      <vt:variant>
        <vt:i4>0</vt:i4>
      </vt:variant>
      <vt:variant>
        <vt:i4>5</vt:i4>
      </vt:variant>
      <vt:variant>
        <vt:lpwstr>https://gabriel-zucman.eu/files/AJZ2017b.pdf</vt:lpwstr>
      </vt:variant>
      <vt:variant>
        <vt:lpwstr/>
      </vt:variant>
      <vt:variant>
        <vt:i4>6225980</vt:i4>
      </vt:variant>
      <vt:variant>
        <vt:i4>711</vt:i4>
      </vt:variant>
      <vt:variant>
        <vt:i4>0</vt:i4>
      </vt:variant>
      <vt:variant>
        <vt:i4>5</vt:i4>
      </vt:variant>
      <vt:variant>
        <vt:lpwstr>https://curbingiffsdotorg.files.wordpress.com/2020/06/r4d_ghana_trademispricing_june2020-1.pdf</vt:lpwstr>
      </vt:variant>
      <vt:variant>
        <vt:lpwstr/>
      </vt:variant>
      <vt:variant>
        <vt:i4>5767247</vt:i4>
      </vt:variant>
      <vt:variant>
        <vt:i4>690</vt:i4>
      </vt:variant>
      <vt:variant>
        <vt:i4>0</vt:i4>
      </vt:variant>
      <vt:variant>
        <vt:i4>5</vt:i4>
      </vt:variant>
      <vt:variant>
        <vt:lpwstr>https://www.wider.unu.edu/project/government-revenue-dataset</vt:lpwstr>
      </vt:variant>
      <vt:variant>
        <vt:lpwstr/>
      </vt:variant>
      <vt:variant>
        <vt:i4>5963860</vt:i4>
      </vt:variant>
      <vt:variant>
        <vt:i4>687</vt:i4>
      </vt:variant>
      <vt:variant>
        <vt:i4>0</vt:i4>
      </vt:variant>
      <vt:variant>
        <vt:i4>5</vt:i4>
      </vt:variant>
      <vt:variant>
        <vt:lpwstr>https://www.rug.nl/ggdc/productivity/pwt/</vt:lpwstr>
      </vt:variant>
      <vt:variant>
        <vt:lpwstr/>
      </vt:variant>
      <vt:variant>
        <vt:i4>1507352</vt:i4>
      </vt:variant>
      <vt:variant>
        <vt:i4>684</vt:i4>
      </vt:variant>
      <vt:variant>
        <vt:i4>0</vt:i4>
      </vt:variant>
      <vt:variant>
        <vt:i4>5</vt:i4>
      </vt:variant>
      <vt:variant>
        <vt:lpwstr>https://data.un.org/</vt:lpwstr>
      </vt:variant>
      <vt:variant>
        <vt:lpwstr/>
      </vt:variant>
      <vt:variant>
        <vt:i4>524304</vt:i4>
      </vt:variant>
      <vt:variant>
        <vt:i4>681</vt:i4>
      </vt:variant>
      <vt:variant>
        <vt:i4>0</vt:i4>
      </vt:variant>
      <vt:variant>
        <vt:i4>5</vt:i4>
      </vt:variant>
      <vt:variant>
        <vt:lpwstr>https://comtrade.un.org/</vt:lpwstr>
      </vt:variant>
      <vt:variant>
        <vt:lpwstr/>
      </vt:variant>
      <vt:variant>
        <vt:i4>8126587</vt:i4>
      </vt:variant>
      <vt:variant>
        <vt:i4>678</vt:i4>
      </vt:variant>
      <vt:variant>
        <vt:i4>0</vt:i4>
      </vt:variant>
      <vt:variant>
        <vt:i4>5</vt:i4>
      </vt:variant>
      <vt:variant>
        <vt:lpwstr>https://unstats.un.org/unsd/trade/data/tables.asp</vt:lpwstr>
      </vt:variant>
      <vt:variant>
        <vt:lpwstr>SUV</vt:lpwstr>
      </vt:variant>
      <vt:variant>
        <vt:i4>6357100</vt:i4>
      </vt:variant>
      <vt:variant>
        <vt:i4>675</vt:i4>
      </vt:variant>
      <vt:variant>
        <vt:i4>0</vt:i4>
      </vt:variant>
      <vt:variant>
        <vt:i4>5</vt:i4>
      </vt:variant>
      <vt:variant>
        <vt:lpwstr>https://unstats.un.org/unsd/business-stat/GGR/</vt:lpwstr>
      </vt:variant>
      <vt:variant>
        <vt:lpwstr/>
      </vt:variant>
      <vt:variant>
        <vt:i4>2752616</vt:i4>
      </vt:variant>
      <vt:variant>
        <vt:i4>672</vt:i4>
      </vt:variant>
      <vt:variant>
        <vt:i4>0</vt:i4>
      </vt:variant>
      <vt:variant>
        <vt:i4>5</vt:i4>
      </vt:variant>
      <vt:variant>
        <vt:lpwstr>https://unctadstat.unctad.org/wds/ReportFolders/reportFolders.aspx</vt:lpwstr>
      </vt:variant>
      <vt:variant>
        <vt:lpwstr/>
      </vt:variant>
      <vt:variant>
        <vt:i4>6881329</vt:i4>
      </vt:variant>
      <vt:variant>
        <vt:i4>669</vt:i4>
      </vt:variant>
      <vt:variant>
        <vt:i4>0</vt:i4>
      </vt:variant>
      <vt:variant>
        <vt:i4>5</vt:i4>
      </vt:variant>
      <vt:variant>
        <vt:lpwstr>https://unctadstat.unctad.org/wds/TableViewer/tableView.aspx?ReportId=96740</vt:lpwstr>
      </vt:variant>
      <vt:variant>
        <vt:lpwstr/>
      </vt:variant>
      <vt:variant>
        <vt:i4>6815787</vt:i4>
      </vt:variant>
      <vt:variant>
        <vt:i4>666</vt:i4>
      </vt:variant>
      <vt:variant>
        <vt:i4>0</vt:i4>
      </vt:variant>
      <vt:variant>
        <vt:i4>5</vt:i4>
      </vt:variant>
      <vt:variant>
        <vt:lpwstr>https://fsi.taxjustice.net/en/</vt:lpwstr>
      </vt:variant>
      <vt:variant>
        <vt:lpwstr/>
      </vt:variant>
      <vt:variant>
        <vt:i4>5832783</vt:i4>
      </vt:variant>
      <vt:variant>
        <vt:i4>663</vt:i4>
      </vt:variant>
      <vt:variant>
        <vt:i4>0</vt:i4>
      </vt:variant>
      <vt:variant>
        <vt:i4>5</vt:i4>
      </vt:variant>
      <vt:variant>
        <vt:lpwstr>https://www.oecd.org/tax/tax-policy/tax-database/</vt:lpwstr>
      </vt:variant>
      <vt:variant>
        <vt:lpwstr/>
      </vt:variant>
      <vt:variant>
        <vt:i4>4849698</vt:i4>
      </vt:variant>
      <vt:variant>
        <vt:i4>660</vt:i4>
      </vt:variant>
      <vt:variant>
        <vt:i4>0</vt:i4>
      </vt:variant>
      <vt:variant>
        <vt:i4>5</vt:i4>
      </vt:variant>
      <vt:variant>
        <vt:lpwstr>https://stats.oecd.org/Index.aspx?DataSetCode=RS_GBL</vt:lpwstr>
      </vt:variant>
      <vt:variant>
        <vt:lpwstr/>
      </vt:variant>
      <vt:variant>
        <vt:i4>2293868</vt:i4>
      </vt:variant>
      <vt:variant>
        <vt:i4>657</vt:i4>
      </vt:variant>
      <vt:variant>
        <vt:i4>0</vt:i4>
      </vt:variant>
      <vt:variant>
        <vt:i4>5</vt:i4>
      </vt:variant>
      <vt:variant>
        <vt:lpwstr>https://stats.oecd.org/Index.aspx?DataSetCode=CIF_FOB_ITIC</vt:lpwstr>
      </vt:variant>
      <vt:variant>
        <vt:lpwstr/>
      </vt:variant>
      <vt:variant>
        <vt:i4>2949221</vt:i4>
      </vt:variant>
      <vt:variant>
        <vt:i4>654</vt:i4>
      </vt:variant>
      <vt:variant>
        <vt:i4>0</vt:i4>
      </vt:variant>
      <vt:variant>
        <vt:i4>5</vt:i4>
      </vt:variant>
      <vt:variant>
        <vt:lpwstr>https://data.oecd.org/fdi/fdi-flows.htm</vt:lpwstr>
      </vt:variant>
      <vt:variant>
        <vt:lpwstr/>
      </vt:variant>
      <vt:variant>
        <vt:i4>5308479</vt:i4>
      </vt:variant>
      <vt:variant>
        <vt:i4>651</vt:i4>
      </vt:variant>
      <vt:variant>
        <vt:i4>0</vt:i4>
      </vt:variant>
      <vt:variant>
        <vt:i4>5</vt:i4>
      </vt:variant>
      <vt:variant>
        <vt:lpwstr>https://stats.oecd.org/Index.aspx?DataSetCode=CBCR_TABLEI</vt:lpwstr>
      </vt:variant>
      <vt:variant>
        <vt:lpwstr/>
      </vt:variant>
      <vt:variant>
        <vt:i4>196677</vt:i4>
      </vt:variant>
      <vt:variant>
        <vt:i4>648</vt:i4>
      </vt:variant>
      <vt:variant>
        <vt:i4>0</vt:i4>
      </vt:variant>
      <vt:variant>
        <vt:i4>5</vt:i4>
      </vt:variant>
      <vt:variant>
        <vt:lpwstr>https://www.oecd.org/sti/ind/amne.htm</vt:lpwstr>
      </vt:variant>
      <vt:variant>
        <vt:lpwstr/>
      </vt:variant>
      <vt:variant>
        <vt:i4>5898308</vt:i4>
      </vt:variant>
      <vt:variant>
        <vt:i4>645</vt:i4>
      </vt:variant>
      <vt:variant>
        <vt:i4>0</vt:i4>
      </vt:variant>
      <vt:variant>
        <vt:i4>5</vt:i4>
      </vt:variant>
      <vt:variant>
        <vt:lpwstr>https://www.oecd.org/sdd/its/statistical-insights-the-adima-database-on-multinational-enterprises.htm</vt:lpwstr>
      </vt:variant>
      <vt:variant>
        <vt:lpwstr/>
      </vt:variant>
      <vt:variant>
        <vt:i4>1245204</vt:i4>
      </vt:variant>
      <vt:variant>
        <vt:i4>642</vt:i4>
      </vt:variant>
      <vt:variant>
        <vt:i4>0</vt:i4>
      </vt:variant>
      <vt:variant>
        <vt:i4>5</vt:i4>
      </vt:variant>
      <vt:variant>
        <vt:lpwstr>https://data.imf.org/?sk=7A51304B-6426-40C0-83DD-CA473CA1FD52</vt:lpwstr>
      </vt:variant>
      <vt:variant>
        <vt:lpwstr/>
      </vt:variant>
      <vt:variant>
        <vt:i4>4194323</vt:i4>
      </vt:variant>
      <vt:variant>
        <vt:i4>639</vt:i4>
      </vt:variant>
      <vt:variant>
        <vt:i4>0</vt:i4>
      </vt:variant>
      <vt:variant>
        <vt:i4>5</vt:i4>
      </vt:variant>
      <vt:variant>
        <vt:lpwstr>https://data.imf.org/?sk=4C514D48-B6BA-49ED-8AB9-52B0C1A0179B</vt:lpwstr>
      </vt:variant>
      <vt:variant>
        <vt:lpwstr/>
      </vt:variant>
      <vt:variant>
        <vt:i4>4653129</vt:i4>
      </vt:variant>
      <vt:variant>
        <vt:i4>636</vt:i4>
      </vt:variant>
      <vt:variant>
        <vt:i4>0</vt:i4>
      </vt:variant>
      <vt:variant>
        <vt:i4>5</vt:i4>
      </vt:variant>
      <vt:variant>
        <vt:lpwstr>https://data.imf.org/?sk=9D6028D4-F14A-464C-A2F2-59B2CD424B85</vt:lpwstr>
      </vt:variant>
      <vt:variant>
        <vt:lpwstr/>
      </vt:variant>
      <vt:variant>
        <vt:i4>1966097</vt:i4>
      </vt:variant>
      <vt:variant>
        <vt:i4>633</vt:i4>
      </vt:variant>
      <vt:variant>
        <vt:i4>0</vt:i4>
      </vt:variant>
      <vt:variant>
        <vt:i4>5</vt:i4>
      </vt:variant>
      <vt:variant>
        <vt:lpwstr>https://data.imf.org/?sk=B981B4E3-4E58-467E-9B90-9DE0C3367363</vt:lpwstr>
      </vt:variant>
      <vt:variant>
        <vt:lpwstr/>
      </vt:variant>
      <vt:variant>
        <vt:i4>4587585</vt:i4>
      </vt:variant>
      <vt:variant>
        <vt:i4>630</vt:i4>
      </vt:variant>
      <vt:variant>
        <vt:i4>0</vt:i4>
      </vt:variant>
      <vt:variant>
        <vt:i4>5</vt:i4>
      </vt:variant>
      <vt:variant>
        <vt:lpwstr>https://data.imf.org/?sk=40313609-F037-48C1-84B1-E1F1CE54D6D5</vt:lpwstr>
      </vt:variant>
      <vt:variant>
        <vt:lpwstr/>
      </vt:variant>
      <vt:variant>
        <vt:i4>1245204</vt:i4>
      </vt:variant>
      <vt:variant>
        <vt:i4>627</vt:i4>
      </vt:variant>
      <vt:variant>
        <vt:i4>0</vt:i4>
      </vt:variant>
      <vt:variant>
        <vt:i4>5</vt:i4>
      </vt:variant>
      <vt:variant>
        <vt:lpwstr>https://data.imf.org/?sk=7A51304B-6426-40C0-83DD-CA473CA1FD52</vt:lpwstr>
      </vt:variant>
      <vt:variant>
        <vt:lpwstr/>
      </vt:variant>
      <vt:variant>
        <vt:i4>2424897</vt:i4>
      </vt:variant>
      <vt:variant>
        <vt:i4>624</vt:i4>
      </vt:variant>
      <vt:variant>
        <vt:i4>0</vt:i4>
      </vt:variant>
      <vt:variant>
        <vt:i4>5</vt:i4>
      </vt:variant>
      <vt:variant>
        <vt:lpwstr>https://ec.europa.eu/taxation_customs/tedb/splSearchForm.html</vt:lpwstr>
      </vt:variant>
      <vt:variant>
        <vt:lpwstr/>
      </vt:variant>
      <vt:variant>
        <vt:i4>6029402</vt:i4>
      </vt:variant>
      <vt:variant>
        <vt:i4>621</vt:i4>
      </vt:variant>
      <vt:variant>
        <vt:i4>0</vt:i4>
      </vt:variant>
      <vt:variant>
        <vt:i4>5</vt:i4>
      </vt:variant>
      <vt:variant>
        <vt:lpwstr>http://www.cepii.fr/CEPII/en/bdd_modele/bdd_modele.asp</vt:lpwstr>
      </vt:variant>
      <vt:variant>
        <vt:lpwstr/>
      </vt:variant>
      <vt:variant>
        <vt:i4>6422604</vt:i4>
      </vt:variant>
      <vt:variant>
        <vt:i4>618</vt:i4>
      </vt:variant>
      <vt:variant>
        <vt:i4>0</vt:i4>
      </vt:variant>
      <vt:variant>
        <vt:i4>5</vt:i4>
      </vt:variant>
      <vt:variant>
        <vt:lpwstr>http://www.cepii.fr/CEPII/en/bdd_modele/presentation.asp?id=17</vt:lpwstr>
      </vt:variant>
      <vt:variant>
        <vt:lpwstr/>
      </vt:variant>
      <vt:variant>
        <vt:i4>6422606</vt:i4>
      </vt:variant>
      <vt:variant>
        <vt:i4>615</vt:i4>
      </vt:variant>
      <vt:variant>
        <vt:i4>0</vt:i4>
      </vt:variant>
      <vt:variant>
        <vt:i4>5</vt:i4>
      </vt:variant>
      <vt:variant>
        <vt:lpwstr>http://www.cepii.fr/cepii/en/bdd_modele/presentation.asp?id=37</vt:lpwstr>
      </vt:variant>
      <vt:variant>
        <vt:lpwstr/>
      </vt:variant>
      <vt:variant>
        <vt:i4>1310735</vt:i4>
      </vt:variant>
      <vt:variant>
        <vt:i4>612</vt:i4>
      </vt:variant>
      <vt:variant>
        <vt:i4>0</vt:i4>
      </vt:variant>
      <vt:variant>
        <vt:i4>5</vt:i4>
      </vt:variant>
      <vt:variant>
        <vt:lpwstr>https://www.bis.org/statistics/index.htm?m=6%7C37</vt:lpwstr>
      </vt:variant>
      <vt:variant>
        <vt:lpwstr/>
      </vt:variant>
      <vt:variant>
        <vt:i4>1769524</vt:i4>
      </vt:variant>
      <vt:variant>
        <vt:i4>236</vt:i4>
      </vt:variant>
      <vt:variant>
        <vt:i4>0</vt:i4>
      </vt:variant>
      <vt:variant>
        <vt:i4>5</vt:i4>
      </vt:variant>
      <vt:variant>
        <vt:lpwstr/>
      </vt:variant>
      <vt:variant>
        <vt:lpwstr>_Toc70491366</vt:lpwstr>
      </vt:variant>
      <vt:variant>
        <vt:i4>1572916</vt:i4>
      </vt:variant>
      <vt:variant>
        <vt:i4>230</vt:i4>
      </vt:variant>
      <vt:variant>
        <vt:i4>0</vt:i4>
      </vt:variant>
      <vt:variant>
        <vt:i4>5</vt:i4>
      </vt:variant>
      <vt:variant>
        <vt:lpwstr/>
      </vt:variant>
      <vt:variant>
        <vt:lpwstr>_Toc70491365</vt:lpwstr>
      </vt:variant>
      <vt:variant>
        <vt:i4>1638452</vt:i4>
      </vt:variant>
      <vt:variant>
        <vt:i4>224</vt:i4>
      </vt:variant>
      <vt:variant>
        <vt:i4>0</vt:i4>
      </vt:variant>
      <vt:variant>
        <vt:i4>5</vt:i4>
      </vt:variant>
      <vt:variant>
        <vt:lpwstr/>
      </vt:variant>
      <vt:variant>
        <vt:lpwstr>_Toc70491364</vt:lpwstr>
      </vt:variant>
      <vt:variant>
        <vt:i4>1966132</vt:i4>
      </vt:variant>
      <vt:variant>
        <vt:i4>218</vt:i4>
      </vt:variant>
      <vt:variant>
        <vt:i4>0</vt:i4>
      </vt:variant>
      <vt:variant>
        <vt:i4>5</vt:i4>
      </vt:variant>
      <vt:variant>
        <vt:lpwstr/>
      </vt:variant>
      <vt:variant>
        <vt:lpwstr>_Toc70491363</vt:lpwstr>
      </vt:variant>
      <vt:variant>
        <vt:i4>2031668</vt:i4>
      </vt:variant>
      <vt:variant>
        <vt:i4>212</vt:i4>
      </vt:variant>
      <vt:variant>
        <vt:i4>0</vt:i4>
      </vt:variant>
      <vt:variant>
        <vt:i4>5</vt:i4>
      </vt:variant>
      <vt:variant>
        <vt:lpwstr/>
      </vt:variant>
      <vt:variant>
        <vt:lpwstr>_Toc70491362</vt:lpwstr>
      </vt:variant>
      <vt:variant>
        <vt:i4>1835060</vt:i4>
      </vt:variant>
      <vt:variant>
        <vt:i4>206</vt:i4>
      </vt:variant>
      <vt:variant>
        <vt:i4>0</vt:i4>
      </vt:variant>
      <vt:variant>
        <vt:i4>5</vt:i4>
      </vt:variant>
      <vt:variant>
        <vt:lpwstr/>
      </vt:variant>
      <vt:variant>
        <vt:lpwstr>_Toc70491361</vt:lpwstr>
      </vt:variant>
      <vt:variant>
        <vt:i4>1900596</vt:i4>
      </vt:variant>
      <vt:variant>
        <vt:i4>200</vt:i4>
      </vt:variant>
      <vt:variant>
        <vt:i4>0</vt:i4>
      </vt:variant>
      <vt:variant>
        <vt:i4>5</vt:i4>
      </vt:variant>
      <vt:variant>
        <vt:lpwstr/>
      </vt:variant>
      <vt:variant>
        <vt:lpwstr>_Toc70491360</vt:lpwstr>
      </vt:variant>
      <vt:variant>
        <vt:i4>1310775</vt:i4>
      </vt:variant>
      <vt:variant>
        <vt:i4>194</vt:i4>
      </vt:variant>
      <vt:variant>
        <vt:i4>0</vt:i4>
      </vt:variant>
      <vt:variant>
        <vt:i4>5</vt:i4>
      </vt:variant>
      <vt:variant>
        <vt:lpwstr/>
      </vt:variant>
      <vt:variant>
        <vt:lpwstr>_Toc70491359</vt:lpwstr>
      </vt:variant>
      <vt:variant>
        <vt:i4>1376311</vt:i4>
      </vt:variant>
      <vt:variant>
        <vt:i4>188</vt:i4>
      </vt:variant>
      <vt:variant>
        <vt:i4>0</vt:i4>
      </vt:variant>
      <vt:variant>
        <vt:i4>5</vt:i4>
      </vt:variant>
      <vt:variant>
        <vt:lpwstr/>
      </vt:variant>
      <vt:variant>
        <vt:lpwstr>_Toc70491358</vt:lpwstr>
      </vt:variant>
      <vt:variant>
        <vt:i4>1703991</vt:i4>
      </vt:variant>
      <vt:variant>
        <vt:i4>182</vt:i4>
      </vt:variant>
      <vt:variant>
        <vt:i4>0</vt:i4>
      </vt:variant>
      <vt:variant>
        <vt:i4>5</vt:i4>
      </vt:variant>
      <vt:variant>
        <vt:lpwstr/>
      </vt:variant>
      <vt:variant>
        <vt:lpwstr>_Toc70491357</vt:lpwstr>
      </vt:variant>
      <vt:variant>
        <vt:i4>1769527</vt:i4>
      </vt:variant>
      <vt:variant>
        <vt:i4>176</vt:i4>
      </vt:variant>
      <vt:variant>
        <vt:i4>0</vt:i4>
      </vt:variant>
      <vt:variant>
        <vt:i4>5</vt:i4>
      </vt:variant>
      <vt:variant>
        <vt:lpwstr/>
      </vt:variant>
      <vt:variant>
        <vt:lpwstr>_Toc70491356</vt:lpwstr>
      </vt:variant>
      <vt:variant>
        <vt:i4>1572919</vt:i4>
      </vt:variant>
      <vt:variant>
        <vt:i4>170</vt:i4>
      </vt:variant>
      <vt:variant>
        <vt:i4>0</vt:i4>
      </vt:variant>
      <vt:variant>
        <vt:i4>5</vt:i4>
      </vt:variant>
      <vt:variant>
        <vt:lpwstr/>
      </vt:variant>
      <vt:variant>
        <vt:lpwstr>_Toc70491355</vt:lpwstr>
      </vt:variant>
      <vt:variant>
        <vt:i4>1638455</vt:i4>
      </vt:variant>
      <vt:variant>
        <vt:i4>164</vt:i4>
      </vt:variant>
      <vt:variant>
        <vt:i4>0</vt:i4>
      </vt:variant>
      <vt:variant>
        <vt:i4>5</vt:i4>
      </vt:variant>
      <vt:variant>
        <vt:lpwstr/>
      </vt:variant>
      <vt:variant>
        <vt:lpwstr>_Toc70491354</vt:lpwstr>
      </vt:variant>
      <vt:variant>
        <vt:i4>1966135</vt:i4>
      </vt:variant>
      <vt:variant>
        <vt:i4>158</vt:i4>
      </vt:variant>
      <vt:variant>
        <vt:i4>0</vt:i4>
      </vt:variant>
      <vt:variant>
        <vt:i4>5</vt:i4>
      </vt:variant>
      <vt:variant>
        <vt:lpwstr/>
      </vt:variant>
      <vt:variant>
        <vt:lpwstr>_Toc70491353</vt:lpwstr>
      </vt:variant>
      <vt:variant>
        <vt:i4>2031671</vt:i4>
      </vt:variant>
      <vt:variant>
        <vt:i4>152</vt:i4>
      </vt:variant>
      <vt:variant>
        <vt:i4>0</vt:i4>
      </vt:variant>
      <vt:variant>
        <vt:i4>5</vt:i4>
      </vt:variant>
      <vt:variant>
        <vt:lpwstr/>
      </vt:variant>
      <vt:variant>
        <vt:lpwstr>_Toc70491352</vt:lpwstr>
      </vt:variant>
      <vt:variant>
        <vt:i4>1835063</vt:i4>
      </vt:variant>
      <vt:variant>
        <vt:i4>146</vt:i4>
      </vt:variant>
      <vt:variant>
        <vt:i4>0</vt:i4>
      </vt:variant>
      <vt:variant>
        <vt:i4>5</vt:i4>
      </vt:variant>
      <vt:variant>
        <vt:lpwstr/>
      </vt:variant>
      <vt:variant>
        <vt:lpwstr>_Toc70491351</vt:lpwstr>
      </vt:variant>
      <vt:variant>
        <vt:i4>1900599</vt:i4>
      </vt:variant>
      <vt:variant>
        <vt:i4>140</vt:i4>
      </vt:variant>
      <vt:variant>
        <vt:i4>0</vt:i4>
      </vt:variant>
      <vt:variant>
        <vt:i4>5</vt:i4>
      </vt:variant>
      <vt:variant>
        <vt:lpwstr/>
      </vt:variant>
      <vt:variant>
        <vt:lpwstr>_Toc70491350</vt:lpwstr>
      </vt:variant>
      <vt:variant>
        <vt:i4>1310774</vt:i4>
      </vt:variant>
      <vt:variant>
        <vt:i4>134</vt:i4>
      </vt:variant>
      <vt:variant>
        <vt:i4>0</vt:i4>
      </vt:variant>
      <vt:variant>
        <vt:i4>5</vt:i4>
      </vt:variant>
      <vt:variant>
        <vt:lpwstr/>
      </vt:variant>
      <vt:variant>
        <vt:lpwstr>_Toc70491349</vt:lpwstr>
      </vt:variant>
      <vt:variant>
        <vt:i4>1376310</vt:i4>
      </vt:variant>
      <vt:variant>
        <vt:i4>128</vt:i4>
      </vt:variant>
      <vt:variant>
        <vt:i4>0</vt:i4>
      </vt:variant>
      <vt:variant>
        <vt:i4>5</vt:i4>
      </vt:variant>
      <vt:variant>
        <vt:lpwstr/>
      </vt:variant>
      <vt:variant>
        <vt:lpwstr>_Toc70491348</vt:lpwstr>
      </vt:variant>
      <vt:variant>
        <vt:i4>1703990</vt:i4>
      </vt:variant>
      <vt:variant>
        <vt:i4>122</vt:i4>
      </vt:variant>
      <vt:variant>
        <vt:i4>0</vt:i4>
      </vt:variant>
      <vt:variant>
        <vt:i4>5</vt:i4>
      </vt:variant>
      <vt:variant>
        <vt:lpwstr/>
      </vt:variant>
      <vt:variant>
        <vt:lpwstr>_Toc70491347</vt:lpwstr>
      </vt:variant>
      <vt:variant>
        <vt:i4>1769526</vt:i4>
      </vt:variant>
      <vt:variant>
        <vt:i4>116</vt:i4>
      </vt:variant>
      <vt:variant>
        <vt:i4>0</vt:i4>
      </vt:variant>
      <vt:variant>
        <vt:i4>5</vt:i4>
      </vt:variant>
      <vt:variant>
        <vt:lpwstr/>
      </vt:variant>
      <vt:variant>
        <vt:lpwstr>_Toc70491346</vt:lpwstr>
      </vt:variant>
      <vt:variant>
        <vt:i4>1572918</vt:i4>
      </vt:variant>
      <vt:variant>
        <vt:i4>110</vt:i4>
      </vt:variant>
      <vt:variant>
        <vt:i4>0</vt:i4>
      </vt:variant>
      <vt:variant>
        <vt:i4>5</vt:i4>
      </vt:variant>
      <vt:variant>
        <vt:lpwstr/>
      </vt:variant>
      <vt:variant>
        <vt:lpwstr>_Toc70491345</vt:lpwstr>
      </vt:variant>
      <vt:variant>
        <vt:i4>1638454</vt:i4>
      </vt:variant>
      <vt:variant>
        <vt:i4>104</vt:i4>
      </vt:variant>
      <vt:variant>
        <vt:i4>0</vt:i4>
      </vt:variant>
      <vt:variant>
        <vt:i4>5</vt:i4>
      </vt:variant>
      <vt:variant>
        <vt:lpwstr/>
      </vt:variant>
      <vt:variant>
        <vt:lpwstr>_Toc70491344</vt:lpwstr>
      </vt:variant>
      <vt:variant>
        <vt:i4>1966134</vt:i4>
      </vt:variant>
      <vt:variant>
        <vt:i4>98</vt:i4>
      </vt:variant>
      <vt:variant>
        <vt:i4>0</vt:i4>
      </vt:variant>
      <vt:variant>
        <vt:i4>5</vt:i4>
      </vt:variant>
      <vt:variant>
        <vt:lpwstr/>
      </vt:variant>
      <vt:variant>
        <vt:lpwstr>_Toc70491343</vt:lpwstr>
      </vt:variant>
      <vt:variant>
        <vt:i4>2031670</vt:i4>
      </vt:variant>
      <vt:variant>
        <vt:i4>92</vt:i4>
      </vt:variant>
      <vt:variant>
        <vt:i4>0</vt:i4>
      </vt:variant>
      <vt:variant>
        <vt:i4>5</vt:i4>
      </vt:variant>
      <vt:variant>
        <vt:lpwstr/>
      </vt:variant>
      <vt:variant>
        <vt:lpwstr>_Toc70491342</vt:lpwstr>
      </vt:variant>
      <vt:variant>
        <vt:i4>1835062</vt:i4>
      </vt:variant>
      <vt:variant>
        <vt:i4>86</vt:i4>
      </vt:variant>
      <vt:variant>
        <vt:i4>0</vt:i4>
      </vt:variant>
      <vt:variant>
        <vt:i4>5</vt:i4>
      </vt:variant>
      <vt:variant>
        <vt:lpwstr/>
      </vt:variant>
      <vt:variant>
        <vt:lpwstr>_Toc70491341</vt:lpwstr>
      </vt:variant>
      <vt:variant>
        <vt:i4>1900598</vt:i4>
      </vt:variant>
      <vt:variant>
        <vt:i4>80</vt:i4>
      </vt:variant>
      <vt:variant>
        <vt:i4>0</vt:i4>
      </vt:variant>
      <vt:variant>
        <vt:i4>5</vt:i4>
      </vt:variant>
      <vt:variant>
        <vt:lpwstr/>
      </vt:variant>
      <vt:variant>
        <vt:lpwstr>_Toc70491340</vt:lpwstr>
      </vt:variant>
      <vt:variant>
        <vt:i4>1310769</vt:i4>
      </vt:variant>
      <vt:variant>
        <vt:i4>74</vt:i4>
      </vt:variant>
      <vt:variant>
        <vt:i4>0</vt:i4>
      </vt:variant>
      <vt:variant>
        <vt:i4>5</vt:i4>
      </vt:variant>
      <vt:variant>
        <vt:lpwstr/>
      </vt:variant>
      <vt:variant>
        <vt:lpwstr>_Toc70491339</vt:lpwstr>
      </vt:variant>
      <vt:variant>
        <vt:i4>1376305</vt:i4>
      </vt:variant>
      <vt:variant>
        <vt:i4>68</vt:i4>
      </vt:variant>
      <vt:variant>
        <vt:i4>0</vt:i4>
      </vt:variant>
      <vt:variant>
        <vt:i4>5</vt:i4>
      </vt:variant>
      <vt:variant>
        <vt:lpwstr/>
      </vt:variant>
      <vt:variant>
        <vt:lpwstr>_Toc70491338</vt:lpwstr>
      </vt:variant>
      <vt:variant>
        <vt:i4>1703985</vt:i4>
      </vt:variant>
      <vt:variant>
        <vt:i4>62</vt:i4>
      </vt:variant>
      <vt:variant>
        <vt:i4>0</vt:i4>
      </vt:variant>
      <vt:variant>
        <vt:i4>5</vt:i4>
      </vt:variant>
      <vt:variant>
        <vt:lpwstr/>
      </vt:variant>
      <vt:variant>
        <vt:lpwstr>_Toc70491337</vt:lpwstr>
      </vt:variant>
      <vt:variant>
        <vt:i4>1769521</vt:i4>
      </vt:variant>
      <vt:variant>
        <vt:i4>56</vt:i4>
      </vt:variant>
      <vt:variant>
        <vt:i4>0</vt:i4>
      </vt:variant>
      <vt:variant>
        <vt:i4>5</vt:i4>
      </vt:variant>
      <vt:variant>
        <vt:lpwstr/>
      </vt:variant>
      <vt:variant>
        <vt:lpwstr>_Toc70491336</vt:lpwstr>
      </vt:variant>
      <vt:variant>
        <vt:i4>1572913</vt:i4>
      </vt:variant>
      <vt:variant>
        <vt:i4>50</vt:i4>
      </vt:variant>
      <vt:variant>
        <vt:i4>0</vt:i4>
      </vt:variant>
      <vt:variant>
        <vt:i4>5</vt:i4>
      </vt:variant>
      <vt:variant>
        <vt:lpwstr/>
      </vt:variant>
      <vt:variant>
        <vt:lpwstr>_Toc70491335</vt:lpwstr>
      </vt:variant>
      <vt:variant>
        <vt:i4>1638449</vt:i4>
      </vt:variant>
      <vt:variant>
        <vt:i4>44</vt:i4>
      </vt:variant>
      <vt:variant>
        <vt:i4>0</vt:i4>
      </vt:variant>
      <vt:variant>
        <vt:i4>5</vt:i4>
      </vt:variant>
      <vt:variant>
        <vt:lpwstr/>
      </vt:variant>
      <vt:variant>
        <vt:lpwstr>_Toc70491334</vt:lpwstr>
      </vt:variant>
      <vt:variant>
        <vt:i4>1966129</vt:i4>
      </vt:variant>
      <vt:variant>
        <vt:i4>38</vt:i4>
      </vt:variant>
      <vt:variant>
        <vt:i4>0</vt:i4>
      </vt:variant>
      <vt:variant>
        <vt:i4>5</vt:i4>
      </vt:variant>
      <vt:variant>
        <vt:lpwstr/>
      </vt:variant>
      <vt:variant>
        <vt:lpwstr>_Toc70491333</vt:lpwstr>
      </vt:variant>
      <vt:variant>
        <vt:i4>2031665</vt:i4>
      </vt:variant>
      <vt:variant>
        <vt:i4>32</vt:i4>
      </vt:variant>
      <vt:variant>
        <vt:i4>0</vt:i4>
      </vt:variant>
      <vt:variant>
        <vt:i4>5</vt:i4>
      </vt:variant>
      <vt:variant>
        <vt:lpwstr/>
      </vt:variant>
      <vt:variant>
        <vt:lpwstr>_Toc70491332</vt:lpwstr>
      </vt:variant>
      <vt:variant>
        <vt:i4>1835057</vt:i4>
      </vt:variant>
      <vt:variant>
        <vt:i4>26</vt:i4>
      </vt:variant>
      <vt:variant>
        <vt:i4>0</vt:i4>
      </vt:variant>
      <vt:variant>
        <vt:i4>5</vt:i4>
      </vt:variant>
      <vt:variant>
        <vt:lpwstr/>
      </vt:variant>
      <vt:variant>
        <vt:lpwstr>_Toc70491331</vt:lpwstr>
      </vt:variant>
      <vt:variant>
        <vt:i4>1900593</vt:i4>
      </vt:variant>
      <vt:variant>
        <vt:i4>20</vt:i4>
      </vt:variant>
      <vt:variant>
        <vt:i4>0</vt:i4>
      </vt:variant>
      <vt:variant>
        <vt:i4>5</vt:i4>
      </vt:variant>
      <vt:variant>
        <vt:lpwstr/>
      </vt:variant>
      <vt:variant>
        <vt:lpwstr>_Toc70491330</vt:lpwstr>
      </vt:variant>
      <vt:variant>
        <vt:i4>1310768</vt:i4>
      </vt:variant>
      <vt:variant>
        <vt:i4>14</vt:i4>
      </vt:variant>
      <vt:variant>
        <vt:i4>0</vt:i4>
      </vt:variant>
      <vt:variant>
        <vt:i4>5</vt:i4>
      </vt:variant>
      <vt:variant>
        <vt:lpwstr/>
      </vt:variant>
      <vt:variant>
        <vt:lpwstr>_Toc70491329</vt:lpwstr>
      </vt:variant>
      <vt:variant>
        <vt:i4>1376304</vt:i4>
      </vt:variant>
      <vt:variant>
        <vt:i4>8</vt:i4>
      </vt:variant>
      <vt:variant>
        <vt:i4>0</vt:i4>
      </vt:variant>
      <vt:variant>
        <vt:i4>5</vt:i4>
      </vt:variant>
      <vt:variant>
        <vt:lpwstr/>
      </vt:variant>
      <vt:variant>
        <vt:lpwstr>_Toc70491328</vt:lpwstr>
      </vt:variant>
      <vt:variant>
        <vt:i4>1703984</vt:i4>
      </vt:variant>
      <vt:variant>
        <vt:i4>2</vt:i4>
      </vt:variant>
      <vt:variant>
        <vt:i4>0</vt:i4>
      </vt:variant>
      <vt:variant>
        <vt:i4>5</vt:i4>
      </vt:variant>
      <vt:variant>
        <vt:lpwstr/>
      </vt:variant>
      <vt:variant>
        <vt:lpwstr>_Toc70491327</vt:lpwstr>
      </vt:variant>
      <vt:variant>
        <vt:i4>1835036</vt:i4>
      </vt:variant>
      <vt:variant>
        <vt:i4>3</vt:i4>
      </vt:variant>
      <vt:variant>
        <vt:i4>0</vt:i4>
      </vt:variant>
      <vt:variant>
        <vt:i4>5</vt:i4>
      </vt:variant>
      <vt:variant>
        <vt:lpwstr>https://comtrade.un.org/survey/Reports/byQuestion</vt:lpwstr>
      </vt:variant>
      <vt:variant>
        <vt:lpwstr/>
      </vt:variant>
      <vt:variant>
        <vt:i4>1835036</vt:i4>
      </vt:variant>
      <vt:variant>
        <vt:i4>0</vt:i4>
      </vt:variant>
      <vt:variant>
        <vt:i4>0</vt:i4>
      </vt:variant>
      <vt:variant>
        <vt:i4>5</vt:i4>
      </vt:variant>
      <vt:variant>
        <vt:lpwstr>https://comtrade.un.org/survey/Reports/byQuestion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2021-06-22T17:18:00Z</dcterms:created>
  <dcterms:modified xsi:type="dcterms:W3CDTF">2021-07-19T15:04:00Z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ies>
</file>