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08BA" w14:textId="5C74FE16" w:rsidR="00B23307" w:rsidRPr="00A463C5" w:rsidRDefault="00B23307" w:rsidP="00B23307">
      <w:pPr>
        <w:pStyle w:val="Heading3"/>
        <w:numPr>
          <w:ilvl w:val="0"/>
          <w:numId w:val="2"/>
        </w:numPr>
        <w:rPr>
          <w:lang w:val="fr-FR"/>
        </w:rPr>
      </w:pPr>
      <w:bookmarkStart w:id="0" w:name="_Toc70491362"/>
      <w:r w:rsidRPr="00A463C5">
        <w:rPr>
          <w:lang w:val="fr-FR"/>
        </w:rPr>
        <w:t xml:space="preserve">Fiches d'information sur les méthodes </w:t>
      </w:r>
      <w:bookmarkEnd w:id="0"/>
    </w:p>
    <w:p w14:paraId="7C09AE25" w14:textId="77777777" w:rsidR="00B23307" w:rsidRPr="00A463C5" w:rsidRDefault="00B23307" w:rsidP="00B2330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845"/>
      </w:tblGrid>
      <w:tr w:rsidR="00B23307" w:rsidRPr="004A729B" w14:paraId="3715ED62" w14:textId="77777777" w:rsidTr="00606C69">
        <w:tc>
          <w:tcPr>
            <w:tcW w:w="2265" w:type="dxa"/>
            <w:tcBorders>
              <w:right w:val="nil"/>
            </w:tcBorders>
            <w:shd w:val="clear" w:color="auto" w:fill="DEEAF6" w:themeFill="accent5" w:themeFillTint="33"/>
          </w:tcPr>
          <w:p w14:paraId="1A6AB4D5" w14:textId="77777777" w:rsidR="00B23307" w:rsidRPr="00A463C5" w:rsidRDefault="00B23307" w:rsidP="00606C69">
            <w:pPr>
              <w:spacing w:after="0"/>
              <w:rPr>
                <w:lang w:val="fr-FR"/>
              </w:rPr>
            </w:pPr>
            <w:r w:rsidRPr="00A463C5">
              <w:rPr>
                <w:b/>
                <w:bCs/>
                <w:lang w:val="fr-FR"/>
              </w:rPr>
              <w:t>Fiche d'information sur la méthode</w:t>
            </w:r>
          </w:p>
        </w:tc>
        <w:tc>
          <w:tcPr>
            <w:tcW w:w="6797" w:type="dxa"/>
            <w:gridSpan w:val="5"/>
            <w:tcBorders>
              <w:left w:val="nil"/>
            </w:tcBorders>
            <w:shd w:val="clear" w:color="auto" w:fill="DEEAF6" w:themeFill="accent5" w:themeFillTint="33"/>
          </w:tcPr>
          <w:p w14:paraId="0AA81EBB" w14:textId="77777777" w:rsidR="00B23307" w:rsidRPr="00A463C5" w:rsidRDefault="00B23307" w:rsidP="00606C69">
            <w:pPr>
              <w:spacing w:after="0"/>
              <w:jc w:val="right"/>
              <w:rPr>
                <w:b/>
                <w:bCs/>
                <w:lang w:val="fr-FR"/>
              </w:rPr>
            </w:pPr>
            <w:r>
              <w:rPr>
                <w:b/>
                <w:bCs/>
                <w:lang w:val="fr-FR"/>
              </w:rPr>
              <w:t xml:space="preserve">         </w:t>
            </w:r>
            <w:r w:rsidRPr="00A463C5">
              <w:rPr>
                <w:b/>
                <w:bCs/>
                <w:lang w:val="fr-FR"/>
              </w:rPr>
              <w:t xml:space="preserve">DIRECTIVES MÉTHODOLOGIQUES POUR MESURER </w:t>
            </w:r>
          </w:p>
          <w:p w14:paraId="6EAFAD1E" w14:textId="77777777" w:rsidR="00B23307" w:rsidRPr="00A463C5" w:rsidRDefault="00B23307" w:rsidP="00606C69">
            <w:pPr>
              <w:spacing w:after="0"/>
              <w:jc w:val="right"/>
              <w:rPr>
                <w:b/>
                <w:bCs/>
                <w:lang w:val="fr-FR"/>
              </w:rPr>
            </w:pPr>
            <w:r w:rsidRPr="00A463C5">
              <w:rPr>
                <w:b/>
                <w:bCs/>
                <w:lang w:val="fr-FR"/>
              </w:rPr>
              <w:t xml:space="preserve">LES FLUX FINANCIERS ILLICITES FISCAUX ET COMMERCIAUX </w:t>
            </w:r>
          </w:p>
          <w:p w14:paraId="64915926" w14:textId="4582FB88" w:rsidR="00B23307" w:rsidRPr="00A463C5" w:rsidRDefault="00B23307" w:rsidP="00606C69">
            <w:pPr>
              <w:spacing w:after="0"/>
              <w:jc w:val="right"/>
              <w:rPr>
                <w:b/>
                <w:bCs/>
                <w:sz w:val="20"/>
                <w:szCs w:val="20"/>
                <w:lang w:val="fr-FR"/>
              </w:rPr>
            </w:pPr>
            <w:r w:rsidRPr="00A463C5">
              <w:rPr>
                <w:b/>
                <w:bCs/>
                <w:sz w:val="20"/>
                <w:szCs w:val="20"/>
                <w:lang w:val="fr-FR"/>
              </w:rPr>
              <w:t xml:space="preserve">Méthodes pour les </w:t>
            </w:r>
            <w:r w:rsidR="00E302C1">
              <w:rPr>
                <w:b/>
                <w:bCs/>
                <w:sz w:val="20"/>
                <w:szCs w:val="20"/>
                <w:lang w:val="fr-FR"/>
              </w:rPr>
              <w:t>test</w:t>
            </w:r>
            <w:r w:rsidR="002B51E0">
              <w:rPr>
                <w:b/>
                <w:bCs/>
                <w:sz w:val="20"/>
                <w:szCs w:val="20"/>
                <w:lang w:val="fr-FR"/>
              </w:rPr>
              <w:t>s</w:t>
            </w:r>
            <w:r w:rsidRPr="00A463C5">
              <w:rPr>
                <w:b/>
                <w:bCs/>
                <w:sz w:val="20"/>
                <w:szCs w:val="20"/>
                <w:lang w:val="fr-FR"/>
              </w:rPr>
              <w:t xml:space="preserve"> pilotes</w:t>
            </w:r>
          </w:p>
        </w:tc>
      </w:tr>
      <w:tr w:rsidR="00B23307" w:rsidRPr="004A729B" w14:paraId="15C7C94C" w14:textId="77777777" w:rsidTr="00606C69">
        <w:tc>
          <w:tcPr>
            <w:tcW w:w="2405" w:type="dxa"/>
            <w:gridSpan w:val="2"/>
            <w:shd w:val="clear" w:color="auto" w:fill="DEEAF6" w:themeFill="accent5" w:themeFillTint="33"/>
          </w:tcPr>
          <w:p w14:paraId="5F4095A0" w14:textId="77777777" w:rsidR="00B23307" w:rsidRPr="00A463C5" w:rsidRDefault="00B23307" w:rsidP="00606C69">
            <w:pPr>
              <w:spacing w:after="0"/>
              <w:rPr>
                <w:b/>
                <w:bCs/>
                <w:lang w:val="fr-FR"/>
              </w:rPr>
            </w:pPr>
            <w:r w:rsidRPr="00A463C5">
              <w:rPr>
                <w:b/>
                <w:bCs/>
                <w:lang w:val="fr-FR"/>
              </w:rPr>
              <w:t>Titre de la méthode</w:t>
            </w:r>
          </w:p>
        </w:tc>
        <w:tc>
          <w:tcPr>
            <w:tcW w:w="6657" w:type="dxa"/>
            <w:gridSpan w:val="4"/>
          </w:tcPr>
          <w:p w14:paraId="4BB910D6" w14:textId="77777777" w:rsidR="00B23307" w:rsidRPr="00A463C5" w:rsidRDefault="00B23307" w:rsidP="00606C69">
            <w:pPr>
              <w:spacing w:after="0"/>
              <w:rPr>
                <w:lang w:val="fr-FR"/>
              </w:rPr>
            </w:pPr>
            <w:r>
              <w:rPr>
                <w:lang w:val="fr-FR"/>
              </w:rPr>
              <w:t xml:space="preserve">#1 </w:t>
            </w:r>
            <w:r w:rsidRPr="00A463C5">
              <w:rPr>
                <w:lang w:val="fr-FR"/>
              </w:rPr>
              <w:t>Méthode du pays partenaire (</w:t>
            </w:r>
            <w:r>
              <w:rPr>
                <w:lang w:val="fr-FR"/>
              </w:rPr>
              <w:t>PCM</w:t>
            </w:r>
            <w:r w:rsidRPr="00A463C5">
              <w:rPr>
                <w:lang w:val="fr-FR"/>
              </w:rPr>
              <w:t>) +</w:t>
            </w:r>
          </w:p>
        </w:tc>
      </w:tr>
      <w:tr w:rsidR="00B23307" w:rsidRPr="004A729B" w14:paraId="40FCA29E" w14:textId="77777777" w:rsidTr="00606C69">
        <w:tc>
          <w:tcPr>
            <w:tcW w:w="2405" w:type="dxa"/>
            <w:gridSpan w:val="2"/>
            <w:shd w:val="clear" w:color="auto" w:fill="DEEAF6" w:themeFill="accent5" w:themeFillTint="33"/>
          </w:tcPr>
          <w:p w14:paraId="2C821D23" w14:textId="77777777" w:rsidR="00B23307" w:rsidRPr="00A463C5" w:rsidRDefault="00B23307" w:rsidP="00606C69">
            <w:pPr>
              <w:spacing w:after="0"/>
              <w:rPr>
                <w:b/>
                <w:bCs/>
                <w:lang w:val="fr-FR"/>
              </w:rPr>
            </w:pPr>
            <w:r w:rsidRPr="00A463C5">
              <w:rPr>
                <w:b/>
                <w:bCs/>
                <w:lang w:val="fr-FR"/>
              </w:rPr>
              <w:t>Titre(s) alternatif(s)</w:t>
            </w:r>
          </w:p>
        </w:tc>
        <w:tc>
          <w:tcPr>
            <w:tcW w:w="6657" w:type="dxa"/>
            <w:gridSpan w:val="4"/>
          </w:tcPr>
          <w:p w14:paraId="16A487DB" w14:textId="77777777" w:rsidR="00B23307" w:rsidRPr="00A463C5" w:rsidRDefault="00B23307" w:rsidP="00606C69">
            <w:pPr>
              <w:spacing w:after="0"/>
              <w:rPr>
                <w:lang w:val="fr-FR"/>
              </w:rPr>
            </w:pPr>
            <w:r w:rsidRPr="00A463C5">
              <w:rPr>
                <w:lang w:val="fr-FR"/>
              </w:rPr>
              <w:t>Asymétries commerciales, analyse des données miroir</w:t>
            </w:r>
          </w:p>
        </w:tc>
      </w:tr>
      <w:tr w:rsidR="00B23307" w:rsidRPr="00A463C5" w14:paraId="40FBC610" w14:textId="77777777" w:rsidTr="00606C69">
        <w:tc>
          <w:tcPr>
            <w:tcW w:w="2405" w:type="dxa"/>
            <w:gridSpan w:val="2"/>
            <w:shd w:val="clear" w:color="auto" w:fill="DEEAF6" w:themeFill="accent5" w:themeFillTint="33"/>
          </w:tcPr>
          <w:p w14:paraId="36F75ADF" w14:textId="77777777" w:rsidR="00B23307" w:rsidRPr="00A463C5" w:rsidRDefault="00B23307" w:rsidP="00606C69">
            <w:pPr>
              <w:spacing w:after="0"/>
              <w:rPr>
                <w:b/>
                <w:bCs/>
                <w:lang w:val="fr-FR"/>
              </w:rPr>
            </w:pPr>
            <w:r w:rsidRPr="00A463C5">
              <w:rPr>
                <w:b/>
                <w:bCs/>
                <w:lang w:val="fr-FR"/>
              </w:rPr>
              <w:t>Groupe de méthodes</w:t>
            </w:r>
          </w:p>
        </w:tc>
        <w:tc>
          <w:tcPr>
            <w:tcW w:w="6657" w:type="dxa"/>
            <w:gridSpan w:val="4"/>
          </w:tcPr>
          <w:p w14:paraId="4A65DDD3" w14:textId="77777777" w:rsidR="00B23307" w:rsidRPr="00A463C5" w:rsidRDefault="00B23307" w:rsidP="00606C69">
            <w:pPr>
              <w:spacing w:after="0"/>
              <w:rPr>
                <w:lang w:val="fr-FR"/>
              </w:rPr>
            </w:pPr>
            <w:r w:rsidRPr="00A463C5">
              <w:rPr>
                <w:lang w:val="fr-FR"/>
              </w:rPr>
              <w:t>Fausse facturation commerciale</w:t>
            </w:r>
          </w:p>
        </w:tc>
      </w:tr>
      <w:tr w:rsidR="00B23307" w:rsidRPr="00A463C5" w14:paraId="2A888FF3" w14:textId="77777777" w:rsidTr="00606C69">
        <w:tc>
          <w:tcPr>
            <w:tcW w:w="2405" w:type="dxa"/>
            <w:gridSpan w:val="2"/>
            <w:shd w:val="clear" w:color="auto" w:fill="DEEAF6" w:themeFill="accent5" w:themeFillTint="33"/>
          </w:tcPr>
          <w:p w14:paraId="15EA288F" w14:textId="77777777" w:rsidR="00B23307" w:rsidRPr="00A463C5" w:rsidRDefault="00B23307" w:rsidP="00606C69">
            <w:pPr>
              <w:spacing w:after="0"/>
              <w:rPr>
                <w:b/>
                <w:bCs/>
                <w:lang w:val="fr-FR"/>
              </w:rPr>
            </w:pPr>
            <w:r w:rsidRPr="00A463C5">
              <w:rPr>
                <w:b/>
                <w:bCs/>
                <w:lang w:val="fr-FR"/>
              </w:rPr>
              <w:t xml:space="preserve">Type de flux </w:t>
            </w:r>
            <w:r>
              <w:rPr>
                <w:b/>
                <w:bCs/>
                <w:lang w:val="fr-FR"/>
              </w:rPr>
              <w:t>FFI</w:t>
            </w:r>
            <w:r w:rsidRPr="00A463C5">
              <w:rPr>
                <w:b/>
                <w:bCs/>
                <w:lang w:val="fr-FR"/>
              </w:rPr>
              <w:t xml:space="preserve"> ciblés</w:t>
            </w:r>
          </w:p>
        </w:tc>
        <w:tc>
          <w:tcPr>
            <w:tcW w:w="3827" w:type="dxa"/>
            <w:gridSpan w:val="2"/>
          </w:tcPr>
          <w:p w14:paraId="5322BA22" w14:textId="30C12A1D" w:rsidR="00B23307" w:rsidRPr="00A463C5" w:rsidRDefault="00B23307" w:rsidP="00606C69">
            <w:pPr>
              <w:spacing w:after="0"/>
              <w:rPr>
                <w:lang w:val="fr-FR"/>
              </w:rPr>
            </w:pPr>
            <w:r w:rsidRPr="00A463C5">
              <w:rPr>
                <w:lang w:val="fr-FR"/>
              </w:rPr>
              <w:t xml:space="preserve">F2 </w:t>
            </w:r>
            <w:r>
              <w:rPr>
                <w:lang w:val="fr-FR"/>
              </w:rPr>
              <w:t>Fausse</w:t>
            </w:r>
            <w:r w:rsidRPr="00A463C5">
              <w:rPr>
                <w:lang w:val="fr-FR"/>
              </w:rPr>
              <w:t xml:space="preserve"> facturation commerciale</w:t>
            </w:r>
            <w:r w:rsidR="002B51E0">
              <w:rPr>
                <w:lang w:val="fr-FR"/>
              </w:rPr>
              <w:t xml:space="preserve"> par les entités</w:t>
            </w:r>
          </w:p>
        </w:tc>
        <w:tc>
          <w:tcPr>
            <w:tcW w:w="1985" w:type="dxa"/>
            <w:shd w:val="clear" w:color="auto" w:fill="DEEAF6" w:themeFill="accent5" w:themeFillTint="33"/>
          </w:tcPr>
          <w:p w14:paraId="764B8F6D" w14:textId="77777777" w:rsidR="00B23307" w:rsidRPr="00A463C5" w:rsidRDefault="00B23307" w:rsidP="00606C69">
            <w:pPr>
              <w:spacing w:after="0"/>
              <w:rPr>
                <w:b/>
                <w:bCs/>
                <w:lang w:val="fr-FR"/>
              </w:rPr>
            </w:pPr>
            <w:r w:rsidRPr="00A463C5">
              <w:rPr>
                <w:b/>
                <w:bCs/>
                <w:lang w:val="fr-FR"/>
              </w:rPr>
              <w:t>Classification par niveau</w:t>
            </w:r>
          </w:p>
        </w:tc>
        <w:tc>
          <w:tcPr>
            <w:tcW w:w="845" w:type="dxa"/>
          </w:tcPr>
          <w:p w14:paraId="4BCA4A13" w14:textId="77777777" w:rsidR="00B23307" w:rsidRPr="00A463C5" w:rsidRDefault="00B23307" w:rsidP="00606C69">
            <w:pPr>
              <w:spacing w:after="0"/>
              <w:rPr>
                <w:lang w:val="fr-FR"/>
              </w:rPr>
            </w:pPr>
            <w:r w:rsidRPr="00A463C5">
              <w:rPr>
                <w:lang w:val="fr-FR"/>
              </w:rPr>
              <w:t>Niveau 2</w:t>
            </w:r>
          </w:p>
        </w:tc>
      </w:tr>
      <w:tr w:rsidR="00B23307" w:rsidRPr="00A463C5" w14:paraId="2F09230D" w14:textId="77777777" w:rsidTr="00606C69">
        <w:tc>
          <w:tcPr>
            <w:tcW w:w="9062" w:type="dxa"/>
            <w:gridSpan w:val="6"/>
            <w:shd w:val="clear" w:color="auto" w:fill="DEEAF6" w:themeFill="accent5" w:themeFillTint="33"/>
          </w:tcPr>
          <w:p w14:paraId="540716F9" w14:textId="77777777" w:rsidR="00B23307" w:rsidRPr="00A463C5" w:rsidRDefault="00B23307" w:rsidP="00606C69">
            <w:pPr>
              <w:spacing w:after="0"/>
              <w:rPr>
                <w:lang w:val="fr-FR"/>
              </w:rPr>
            </w:pPr>
            <w:r w:rsidRPr="00A463C5">
              <w:rPr>
                <w:noProof/>
                <w:lang w:val="fr-FR"/>
              </w:rPr>
              <w:drawing>
                <wp:inline distT="0" distB="0" distL="0" distR="0" wp14:anchorId="41834D9F" wp14:editId="6545A16E">
                  <wp:extent cx="288000" cy="288000"/>
                  <wp:effectExtent l="0" t="0" r="0" b="0"/>
                  <wp:docPr id="55" name="Graphic 55"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Concept </w:t>
            </w:r>
          </w:p>
        </w:tc>
      </w:tr>
      <w:tr w:rsidR="00B23307" w:rsidRPr="004A729B" w14:paraId="6C385832" w14:textId="77777777" w:rsidTr="00606C69">
        <w:tc>
          <w:tcPr>
            <w:tcW w:w="9062" w:type="dxa"/>
            <w:gridSpan w:val="6"/>
          </w:tcPr>
          <w:p w14:paraId="0C928656" w14:textId="77777777" w:rsidR="00B23307" w:rsidRPr="00A463C5" w:rsidRDefault="00B23307" w:rsidP="00606C69">
            <w:pPr>
              <w:spacing w:after="0"/>
              <w:rPr>
                <w:lang w:val="fr-FR"/>
              </w:rPr>
            </w:pPr>
            <w:r w:rsidRPr="00A463C5">
              <w:rPr>
                <w:lang w:val="fr-FR"/>
              </w:rPr>
              <w:t>Le concept de PCM est basé sur l'écart commercial, défini comme la divergence des valeurs d'une transaction commerciale de biens (importation, exportation), déclarée indépendamment par les deux partenaires commerciaux.</w:t>
            </w:r>
          </w:p>
        </w:tc>
      </w:tr>
      <w:tr w:rsidR="00B23307" w:rsidRPr="00A463C5" w14:paraId="3589E511" w14:textId="77777777" w:rsidTr="00606C69">
        <w:tc>
          <w:tcPr>
            <w:tcW w:w="9062" w:type="dxa"/>
            <w:gridSpan w:val="6"/>
            <w:shd w:val="clear" w:color="auto" w:fill="DEEAF6" w:themeFill="accent5" w:themeFillTint="33"/>
          </w:tcPr>
          <w:p w14:paraId="489C76E4" w14:textId="77777777" w:rsidR="00B23307" w:rsidRPr="00A463C5" w:rsidRDefault="00B23307" w:rsidP="00606C69">
            <w:pPr>
              <w:spacing w:after="0"/>
              <w:rPr>
                <w:lang w:val="fr-FR"/>
              </w:rPr>
            </w:pPr>
            <w:r w:rsidRPr="00A463C5">
              <w:rPr>
                <w:noProof/>
                <w:lang w:val="fr-FR"/>
              </w:rPr>
              <w:drawing>
                <wp:inline distT="0" distB="0" distL="0" distR="0" wp14:anchorId="3B4EDC8B" wp14:editId="5B6F8355">
                  <wp:extent cx="288000" cy="288000"/>
                  <wp:effectExtent l="0" t="0" r="0" b="0"/>
                  <wp:docPr id="9" name="Graphic 9"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r w:rsidRPr="00A463C5">
              <w:rPr>
                <w:b/>
                <w:bCs/>
                <w:lang w:val="fr-FR"/>
              </w:rPr>
              <w:t>Hypothèses</w:t>
            </w:r>
          </w:p>
        </w:tc>
      </w:tr>
      <w:tr w:rsidR="00B23307" w:rsidRPr="004A729B" w14:paraId="68D200A2" w14:textId="77777777" w:rsidTr="00606C69">
        <w:tc>
          <w:tcPr>
            <w:tcW w:w="9062" w:type="dxa"/>
            <w:gridSpan w:val="6"/>
          </w:tcPr>
          <w:p w14:paraId="062587A9" w14:textId="77777777" w:rsidR="00B23307" w:rsidRPr="00A463C5" w:rsidRDefault="00B23307" w:rsidP="00606C69">
            <w:pPr>
              <w:spacing w:after="0"/>
              <w:rPr>
                <w:rFonts w:ascii="Calibri" w:hAnsi="Calibri" w:cs="Calibri"/>
                <w:color w:val="000000"/>
                <w:lang w:val="fr-FR"/>
              </w:rPr>
            </w:pPr>
            <w:r w:rsidRPr="00A463C5">
              <w:rPr>
                <w:lang w:val="fr-FR"/>
              </w:rPr>
              <w:t>1. Les statistiques commerciales du partenaire sont suffisamment précises et comparables pour que les d</w:t>
            </w:r>
            <w:r>
              <w:rPr>
                <w:lang w:val="fr-FR"/>
              </w:rPr>
              <w:t>iff</w:t>
            </w:r>
            <w:r w:rsidRPr="00A463C5">
              <w:rPr>
                <w:lang w:val="fr-FR"/>
              </w:rPr>
              <w:t xml:space="preserve">érences restantes (après ajustements) dans les statistiques miroirs soient considérées comme de la </w:t>
            </w:r>
            <w:r>
              <w:rPr>
                <w:lang w:val="fr-FR"/>
              </w:rPr>
              <w:t>fausse</w:t>
            </w:r>
            <w:r w:rsidRPr="00A463C5">
              <w:rPr>
                <w:lang w:val="fr-FR"/>
              </w:rPr>
              <w:t xml:space="preserve"> facturation. </w:t>
            </w:r>
            <w:r w:rsidRPr="00A463C5">
              <w:rPr>
                <w:lang w:val="fr-FR"/>
              </w:rPr>
              <w:br/>
              <w:t xml:space="preserve">2. Selon le détail du produit, les hypothèses portent sur l'homogénéité du produit sous un code </w:t>
            </w:r>
            <w:r>
              <w:rPr>
                <w:lang w:val="fr-FR"/>
              </w:rPr>
              <w:t>SH</w:t>
            </w:r>
            <w:r w:rsidRPr="00A463C5">
              <w:rPr>
                <w:lang w:val="fr-FR"/>
              </w:rPr>
              <w:t xml:space="preserve"> </w:t>
            </w:r>
            <w:r w:rsidRPr="00A463C5">
              <w:rPr>
                <w:lang w:val="fr-FR"/>
              </w:rPr>
              <w:br/>
              <w:t xml:space="preserve">particulier. </w:t>
            </w:r>
          </w:p>
        </w:tc>
      </w:tr>
      <w:tr w:rsidR="00B23307" w:rsidRPr="00A463C5" w14:paraId="387ABE52" w14:textId="77777777" w:rsidTr="00606C69">
        <w:tc>
          <w:tcPr>
            <w:tcW w:w="4530" w:type="dxa"/>
            <w:gridSpan w:val="3"/>
            <w:shd w:val="clear" w:color="auto" w:fill="DEEAF6" w:themeFill="accent5" w:themeFillTint="33"/>
          </w:tcPr>
          <w:p w14:paraId="5B6F476D" w14:textId="77777777" w:rsidR="00B23307" w:rsidRPr="00A463C5" w:rsidRDefault="00B23307" w:rsidP="00606C69">
            <w:pPr>
              <w:spacing w:after="0"/>
              <w:rPr>
                <w:lang w:val="fr-FR"/>
              </w:rPr>
            </w:pPr>
            <w:r w:rsidRPr="00A463C5">
              <w:rPr>
                <w:noProof/>
                <w:lang w:val="fr-FR"/>
              </w:rPr>
              <w:drawing>
                <wp:inline distT="0" distB="0" distL="0" distR="0" wp14:anchorId="600E2E9E" wp14:editId="1B1F3BF7">
                  <wp:extent cx="288000" cy="288000"/>
                  <wp:effectExtent l="0" t="0" r="0" b="0"/>
                  <wp:docPr id="11" name="Graphic 11"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Points forts </w:t>
            </w:r>
          </w:p>
        </w:tc>
        <w:tc>
          <w:tcPr>
            <w:tcW w:w="4532" w:type="dxa"/>
            <w:gridSpan w:val="3"/>
            <w:shd w:val="clear" w:color="auto" w:fill="DEEAF6" w:themeFill="accent5" w:themeFillTint="33"/>
          </w:tcPr>
          <w:p w14:paraId="5714151C" w14:textId="77777777" w:rsidR="00B23307" w:rsidRPr="00A463C5" w:rsidRDefault="00B23307" w:rsidP="00606C69">
            <w:pPr>
              <w:spacing w:after="0"/>
              <w:rPr>
                <w:lang w:val="fr-FR"/>
              </w:rPr>
            </w:pPr>
            <w:r w:rsidRPr="00A463C5">
              <w:rPr>
                <w:noProof/>
                <w:lang w:val="fr-FR"/>
              </w:rPr>
              <w:drawing>
                <wp:inline distT="0" distB="0" distL="0" distR="0" wp14:anchorId="184C4109" wp14:editId="4067A2A1">
                  <wp:extent cx="288000" cy="288000"/>
                  <wp:effectExtent l="0" t="0" r="0" b="0"/>
                  <wp:docPr id="192" name="Graphic 192"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2"/>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r w:rsidRPr="00A463C5">
              <w:rPr>
                <w:b/>
                <w:bCs/>
                <w:lang w:val="fr-FR"/>
              </w:rPr>
              <w:t>Limitations</w:t>
            </w:r>
          </w:p>
        </w:tc>
      </w:tr>
      <w:tr w:rsidR="00B23307" w:rsidRPr="004A729B" w14:paraId="7F12537F" w14:textId="77777777" w:rsidTr="00606C69">
        <w:tc>
          <w:tcPr>
            <w:tcW w:w="4530" w:type="dxa"/>
            <w:gridSpan w:val="3"/>
          </w:tcPr>
          <w:p w14:paraId="57E41FE3" w14:textId="77777777" w:rsidR="00B23307" w:rsidRPr="00A463C5" w:rsidRDefault="00B23307" w:rsidP="00606C69">
            <w:pPr>
              <w:spacing w:after="0"/>
              <w:rPr>
                <w:rFonts w:ascii="Calibri" w:hAnsi="Calibri" w:cs="Calibri"/>
                <w:color w:val="000000"/>
                <w:lang w:val="fr-FR"/>
              </w:rPr>
            </w:pPr>
            <w:r w:rsidRPr="00A463C5">
              <w:rPr>
                <w:rFonts w:ascii="Calibri" w:hAnsi="Calibri" w:cs="Calibri"/>
                <w:color w:val="000000"/>
                <w:lang w:val="fr-FR"/>
              </w:rPr>
              <w:t xml:space="preserve">1. Des données accessibles. </w:t>
            </w:r>
            <w:r w:rsidRPr="00A463C5">
              <w:rPr>
                <w:rFonts w:ascii="Calibri" w:hAnsi="Calibri" w:cs="Calibri"/>
                <w:color w:val="000000"/>
                <w:lang w:val="fr-FR"/>
              </w:rPr>
              <w:br/>
              <w:t xml:space="preserve">2. Concept clair. </w:t>
            </w:r>
            <w:r w:rsidRPr="00A463C5">
              <w:rPr>
                <w:rFonts w:ascii="Calibri" w:hAnsi="Calibri" w:cs="Calibri"/>
                <w:color w:val="000000"/>
                <w:lang w:val="fr-FR"/>
              </w:rPr>
              <w:br/>
              <w:t>3. Littérature et cas abondants.</w:t>
            </w:r>
          </w:p>
        </w:tc>
        <w:tc>
          <w:tcPr>
            <w:tcW w:w="4532" w:type="dxa"/>
            <w:gridSpan w:val="3"/>
          </w:tcPr>
          <w:p w14:paraId="65A827F8" w14:textId="77777777" w:rsidR="00B23307" w:rsidRPr="00A463C5" w:rsidRDefault="00B23307" w:rsidP="00606C69">
            <w:pPr>
              <w:spacing w:after="0"/>
              <w:rPr>
                <w:rFonts w:ascii="Calibri" w:hAnsi="Calibri" w:cs="Calibri"/>
                <w:color w:val="000000"/>
                <w:lang w:val="fr-FR"/>
              </w:rPr>
            </w:pPr>
            <w:r w:rsidRPr="00A463C5">
              <w:rPr>
                <w:rFonts w:ascii="Calibri" w:hAnsi="Calibri" w:cs="Calibri"/>
                <w:color w:val="000000"/>
                <w:lang w:val="fr-FR"/>
              </w:rPr>
              <w:t xml:space="preserve">1. Approche descendante. </w:t>
            </w:r>
            <w:r w:rsidRPr="00A463C5">
              <w:rPr>
                <w:rFonts w:ascii="Calibri" w:hAnsi="Calibri" w:cs="Calibri"/>
                <w:color w:val="000000"/>
                <w:lang w:val="fr-FR"/>
              </w:rPr>
              <w:br/>
              <w:t xml:space="preserve">2. </w:t>
            </w:r>
            <w:r>
              <w:rPr>
                <w:rFonts w:ascii="Calibri" w:hAnsi="Calibri" w:cs="Calibri"/>
                <w:color w:val="000000"/>
                <w:lang w:val="fr-FR"/>
              </w:rPr>
              <w:t>Amalgame</w:t>
            </w:r>
            <w:r w:rsidRPr="00A463C5">
              <w:rPr>
                <w:rFonts w:ascii="Calibri" w:hAnsi="Calibri" w:cs="Calibri"/>
                <w:color w:val="000000"/>
                <w:lang w:val="fr-FR"/>
              </w:rPr>
              <w:t xml:space="preserve"> </w:t>
            </w:r>
            <w:r>
              <w:rPr>
                <w:rFonts w:ascii="Calibri" w:hAnsi="Calibri" w:cs="Calibri"/>
                <w:color w:val="000000"/>
                <w:lang w:val="fr-FR"/>
              </w:rPr>
              <w:t>avec d’</w:t>
            </w:r>
            <w:r w:rsidRPr="00A463C5">
              <w:rPr>
                <w:rFonts w:ascii="Calibri" w:hAnsi="Calibri" w:cs="Calibri"/>
                <w:color w:val="000000"/>
                <w:lang w:val="fr-FR"/>
              </w:rPr>
              <w:t xml:space="preserve">autres </w:t>
            </w:r>
            <w:r>
              <w:rPr>
                <w:rFonts w:ascii="Calibri" w:hAnsi="Calibri" w:cs="Calibri"/>
                <w:color w:val="000000"/>
                <w:lang w:val="fr-FR"/>
              </w:rPr>
              <w:t>origines de</w:t>
            </w:r>
            <w:r w:rsidRPr="00E553B2">
              <w:rPr>
                <w:rFonts w:ascii="Calibri" w:hAnsi="Calibri" w:cs="Calibri"/>
                <w:color w:val="000000"/>
                <w:lang w:val="fr-FR"/>
              </w:rPr>
              <w:t xml:space="preserve"> divergence commerciale</w:t>
            </w:r>
            <w:r w:rsidRPr="00A463C5">
              <w:rPr>
                <w:rFonts w:ascii="Calibri" w:hAnsi="Calibri" w:cs="Calibri"/>
                <w:color w:val="000000"/>
                <w:lang w:val="fr-FR"/>
              </w:rPr>
              <w:t xml:space="preserve"> </w:t>
            </w:r>
            <w:r>
              <w:rPr>
                <w:rFonts w:ascii="Calibri" w:hAnsi="Calibri" w:cs="Calibri"/>
                <w:color w:val="000000"/>
                <w:lang w:val="fr-FR"/>
              </w:rPr>
              <w:t>que</w:t>
            </w:r>
            <w:r w:rsidRPr="00A463C5">
              <w:rPr>
                <w:rFonts w:ascii="Calibri" w:hAnsi="Calibri" w:cs="Calibri"/>
                <w:color w:val="000000"/>
                <w:lang w:val="fr-FR"/>
              </w:rPr>
              <w:t xml:space="preserve"> les </w:t>
            </w:r>
            <w:r>
              <w:rPr>
                <w:rFonts w:ascii="Calibri" w:hAnsi="Calibri" w:cs="Calibri"/>
                <w:color w:val="000000"/>
                <w:lang w:val="fr-FR"/>
              </w:rPr>
              <w:t>FFI</w:t>
            </w:r>
            <w:r w:rsidRPr="00A463C5">
              <w:rPr>
                <w:rFonts w:ascii="Calibri" w:hAnsi="Calibri" w:cs="Calibri"/>
                <w:color w:val="000000"/>
                <w:lang w:val="fr-FR"/>
              </w:rPr>
              <w:t>, y compris une cause méthodologique connue, notamment l'attribution des partenaires.</w:t>
            </w:r>
          </w:p>
        </w:tc>
      </w:tr>
      <w:tr w:rsidR="00B23307" w:rsidRPr="00A463C5" w14:paraId="32AE8109" w14:textId="77777777" w:rsidTr="00606C69">
        <w:tc>
          <w:tcPr>
            <w:tcW w:w="4530" w:type="dxa"/>
            <w:gridSpan w:val="3"/>
            <w:shd w:val="clear" w:color="auto" w:fill="DEEAF6" w:themeFill="accent5" w:themeFillTint="33"/>
          </w:tcPr>
          <w:p w14:paraId="7D1A1962" w14:textId="77777777" w:rsidR="00B23307" w:rsidRPr="00A463C5" w:rsidRDefault="00B23307" w:rsidP="00606C69">
            <w:pPr>
              <w:spacing w:after="0"/>
              <w:rPr>
                <w:lang w:val="fr-FR"/>
              </w:rPr>
            </w:pPr>
            <w:r w:rsidRPr="00A463C5">
              <w:rPr>
                <w:noProof/>
                <w:lang w:val="fr-FR"/>
              </w:rPr>
              <w:drawing>
                <wp:inline distT="0" distB="0" distL="0" distR="0" wp14:anchorId="62D6C258" wp14:editId="63EA8B39">
                  <wp:extent cx="288000" cy="288000"/>
                  <wp:effectExtent l="0" t="0" r="0" b="0"/>
                  <wp:docPr id="5" name="Graphic 5"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r w:rsidRPr="00A463C5">
              <w:rPr>
                <w:b/>
                <w:bCs/>
                <w:lang w:val="fr-FR"/>
              </w:rPr>
              <w:t>Sources de données</w:t>
            </w:r>
          </w:p>
        </w:tc>
        <w:tc>
          <w:tcPr>
            <w:tcW w:w="4532" w:type="dxa"/>
            <w:gridSpan w:val="3"/>
            <w:shd w:val="clear" w:color="auto" w:fill="DEEAF6" w:themeFill="accent5" w:themeFillTint="33"/>
          </w:tcPr>
          <w:p w14:paraId="6D4CB451" w14:textId="77777777" w:rsidR="00B23307" w:rsidRPr="00A463C5" w:rsidRDefault="00B23307" w:rsidP="00606C69">
            <w:pPr>
              <w:spacing w:after="0"/>
              <w:rPr>
                <w:lang w:val="fr-FR"/>
              </w:rPr>
            </w:pPr>
            <w:r w:rsidRPr="00A463C5">
              <w:rPr>
                <w:noProof/>
                <w:lang w:val="fr-FR"/>
              </w:rPr>
              <w:drawing>
                <wp:inline distT="0" distB="0" distL="0" distR="0" wp14:anchorId="37EC0112" wp14:editId="73F1D093">
                  <wp:extent cx="288000" cy="288000"/>
                  <wp:effectExtent l="0" t="0" r="0" b="0"/>
                  <wp:docPr id="193" name="Graphic 193"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3"/>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Atténuation des limitations </w:t>
            </w:r>
          </w:p>
        </w:tc>
      </w:tr>
      <w:tr w:rsidR="00B23307" w:rsidRPr="004A729B" w14:paraId="4F4981F1" w14:textId="77777777" w:rsidTr="00606C69">
        <w:tc>
          <w:tcPr>
            <w:tcW w:w="4530" w:type="dxa"/>
            <w:gridSpan w:val="3"/>
          </w:tcPr>
          <w:p w14:paraId="6B99089D" w14:textId="77777777" w:rsidR="00B23307" w:rsidRPr="00A463C5" w:rsidRDefault="00B23307" w:rsidP="00606C69">
            <w:pPr>
              <w:spacing w:after="0"/>
              <w:rPr>
                <w:rFonts w:ascii="Calibri" w:hAnsi="Calibri" w:cs="Calibri"/>
                <w:color w:val="000000"/>
                <w:lang w:val="fr-FR"/>
              </w:rPr>
            </w:pPr>
            <w:r w:rsidRPr="00A463C5">
              <w:rPr>
                <w:rFonts w:ascii="Calibri" w:hAnsi="Calibri" w:cs="Calibri"/>
                <w:color w:val="000000"/>
                <w:lang w:val="fr-FR"/>
              </w:rPr>
              <w:t xml:space="preserve">1. Statistiques du commerce bilatéral (sources nationales, y compris celles des pays partenaires, ou Comtrade des Nations Unies, DOTS du FMI). </w:t>
            </w:r>
            <w:r w:rsidRPr="00A463C5">
              <w:rPr>
                <w:rFonts w:ascii="Calibri" w:hAnsi="Calibri" w:cs="Calibri"/>
                <w:color w:val="000000"/>
                <w:lang w:val="fr-FR"/>
              </w:rPr>
              <w:br/>
              <w:t xml:space="preserve">2. Base de données des coûts </w:t>
            </w:r>
            <w:r>
              <w:rPr>
                <w:rFonts w:ascii="Calibri" w:hAnsi="Calibri" w:cs="Calibri"/>
                <w:color w:val="000000"/>
                <w:lang w:val="fr-FR"/>
              </w:rPr>
              <w:t>mondiaux</w:t>
            </w:r>
            <w:r w:rsidRPr="00A463C5">
              <w:rPr>
                <w:rFonts w:ascii="Calibri" w:hAnsi="Calibri" w:cs="Calibri"/>
                <w:color w:val="000000"/>
                <w:lang w:val="fr-FR"/>
              </w:rPr>
              <w:t xml:space="preserve"> d</w:t>
            </w:r>
            <w:r>
              <w:rPr>
                <w:rFonts w:ascii="Calibri" w:hAnsi="Calibri" w:cs="Calibri"/>
                <w:color w:val="000000"/>
                <w:lang w:val="fr-FR"/>
              </w:rPr>
              <w:t>u</w:t>
            </w:r>
            <w:r w:rsidRPr="00A463C5">
              <w:rPr>
                <w:rFonts w:ascii="Calibri" w:hAnsi="Calibri" w:cs="Calibri"/>
                <w:color w:val="000000"/>
                <w:lang w:val="fr-FR"/>
              </w:rPr>
              <w:t xml:space="preserve"> transport de la CNUCED, </w:t>
            </w:r>
            <w:r>
              <w:rPr>
                <w:rFonts w:ascii="Calibri" w:hAnsi="Calibri" w:cs="Calibri"/>
                <w:color w:val="000000"/>
                <w:lang w:val="fr-FR"/>
              </w:rPr>
              <w:t>ITIC</w:t>
            </w:r>
            <w:r w:rsidRPr="00A463C5">
              <w:rPr>
                <w:rFonts w:ascii="Calibri" w:hAnsi="Calibri" w:cs="Calibri"/>
                <w:color w:val="000000"/>
                <w:lang w:val="fr-FR"/>
              </w:rPr>
              <w:t xml:space="preserve"> de l'OCDE ou similaire pour traiter les divergences C</w:t>
            </w:r>
            <w:r>
              <w:rPr>
                <w:rFonts w:ascii="Calibri" w:hAnsi="Calibri" w:cs="Calibri"/>
                <w:color w:val="000000"/>
                <w:lang w:val="fr-FR"/>
              </w:rPr>
              <w:t>A</w:t>
            </w:r>
            <w:r w:rsidRPr="00A463C5">
              <w:rPr>
                <w:rFonts w:ascii="Calibri" w:hAnsi="Calibri" w:cs="Calibri"/>
                <w:color w:val="000000"/>
                <w:lang w:val="fr-FR"/>
              </w:rPr>
              <w:t>F-</w:t>
            </w:r>
            <w:r>
              <w:rPr>
                <w:rFonts w:ascii="Calibri" w:hAnsi="Calibri" w:cs="Calibri"/>
                <w:color w:val="000000"/>
                <w:lang w:val="fr-FR"/>
              </w:rPr>
              <w:t>FA</w:t>
            </w:r>
            <w:r w:rsidRPr="00A463C5">
              <w:rPr>
                <w:rFonts w:ascii="Calibri" w:hAnsi="Calibri" w:cs="Calibri"/>
                <w:color w:val="000000"/>
                <w:lang w:val="fr-FR"/>
              </w:rPr>
              <w:t>B.</w:t>
            </w:r>
          </w:p>
        </w:tc>
        <w:tc>
          <w:tcPr>
            <w:tcW w:w="4532" w:type="dxa"/>
            <w:gridSpan w:val="3"/>
          </w:tcPr>
          <w:p w14:paraId="68EC60C6" w14:textId="77777777" w:rsidR="00B23307" w:rsidRPr="00A463C5" w:rsidRDefault="00B23307" w:rsidP="00606C69">
            <w:pPr>
              <w:spacing w:after="0"/>
              <w:rPr>
                <w:rFonts w:ascii="Calibri" w:hAnsi="Calibri" w:cs="Calibri"/>
                <w:color w:val="000000"/>
                <w:lang w:val="fr-FR"/>
              </w:rPr>
            </w:pPr>
            <w:r w:rsidRPr="00A463C5">
              <w:rPr>
                <w:rFonts w:ascii="Calibri" w:hAnsi="Calibri" w:cs="Calibri"/>
                <w:color w:val="000000"/>
                <w:lang w:val="fr-FR"/>
              </w:rPr>
              <w:t>1. Utilise</w:t>
            </w:r>
            <w:r>
              <w:rPr>
                <w:rFonts w:ascii="Calibri" w:hAnsi="Calibri" w:cs="Calibri"/>
                <w:color w:val="000000"/>
                <w:lang w:val="fr-FR"/>
              </w:rPr>
              <w:t>r</w:t>
            </w:r>
            <w:r w:rsidRPr="00A463C5">
              <w:rPr>
                <w:rFonts w:ascii="Calibri" w:hAnsi="Calibri" w:cs="Calibri"/>
                <w:color w:val="000000"/>
                <w:lang w:val="fr-FR"/>
              </w:rPr>
              <w:t xml:space="preserve"> des données </w:t>
            </w:r>
            <w:r>
              <w:rPr>
                <w:rFonts w:ascii="Calibri" w:hAnsi="Calibri" w:cs="Calibri"/>
                <w:color w:val="000000"/>
                <w:lang w:val="fr-FR"/>
              </w:rPr>
              <w:t>au</w:t>
            </w:r>
            <w:r w:rsidRPr="00A463C5">
              <w:rPr>
                <w:rFonts w:ascii="Calibri" w:hAnsi="Calibri" w:cs="Calibri"/>
                <w:color w:val="000000"/>
                <w:lang w:val="fr-FR"/>
              </w:rPr>
              <w:t xml:space="preserve"> niveau </w:t>
            </w:r>
            <w:r>
              <w:rPr>
                <w:rFonts w:ascii="Calibri" w:hAnsi="Calibri" w:cs="Calibri"/>
                <w:color w:val="000000"/>
                <w:lang w:val="fr-FR"/>
              </w:rPr>
              <w:t>le plus</w:t>
            </w:r>
            <w:r w:rsidRPr="00A463C5">
              <w:rPr>
                <w:rFonts w:ascii="Calibri" w:hAnsi="Calibri" w:cs="Calibri"/>
                <w:color w:val="000000"/>
                <w:lang w:val="fr-FR"/>
              </w:rPr>
              <w:t xml:space="preserve"> granulaire possible, la catégorie la plus basse dans la classification des produits (c'est-à-dire la sous-rubrique du </w:t>
            </w:r>
            <w:r>
              <w:rPr>
                <w:rFonts w:ascii="Calibri" w:hAnsi="Calibri" w:cs="Calibri"/>
                <w:color w:val="000000"/>
                <w:lang w:val="fr-FR"/>
              </w:rPr>
              <w:t>SH</w:t>
            </w:r>
            <w:r w:rsidRPr="00A463C5">
              <w:rPr>
                <w:rFonts w:ascii="Calibri" w:hAnsi="Calibri" w:cs="Calibri"/>
                <w:color w:val="000000"/>
                <w:lang w:val="fr-FR"/>
              </w:rPr>
              <w:t xml:space="preserve"> pour la comparabilité internationale). En outre, utilise</w:t>
            </w:r>
            <w:r>
              <w:rPr>
                <w:rFonts w:ascii="Calibri" w:hAnsi="Calibri" w:cs="Calibri"/>
                <w:color w:val="000000"/>
                <w:lang w:val="fr-FR"/>
              </w:rPr>
              <w:t>r</w:t>
            </w:r>
            <w:r w:rsidRPr="00A463C5">
              <w:rPr>
                <w:rFonts w:ascii="Calibri" w:hAnsi="Calibri" w:cs="Calibri"/>
                <w:color w:val="000000"/>
                <w:lang w:val="fr-FR"/>
              </w:rPr>
              <w:t xml:space="preserve"> des partenaires individuels pour au moins la majorité des échanges (par exemple, pour couvrir plus de 75 % des échanges). </w:t>
            </w:r>
            <w:r w:rsidRPr="00A463C5">
              <w:rPr>
                <w:rFonts w:ascii="Calibri" w:hAnsi="Calibri" w:cs="Calibri"/>
                <w:color w:val="000000"/>
                <w:lang w:val="fr-FR"/>
              </w:rPr>
              <w:br/>
              <w:t>2. Inspecte</w:t>
            </w:r>
            <w:r>
              <w:rPr>
                <w:rFonts w:ascii="Calibri" w:hAnsi="Calibri" w:cs="Calibri"/>
                <w:color w:val="000000"/>
                <w:lang w:val="fr-FR"/>
              </w:rPr>
              <w:t>r</w:t>
            </w:r>
            <w:r w:rsidRPr="00A463C5">
              <w:rPr>
                <w:rFonts w:ascii="Calibri" w:hAnsi="Calibri" w:cs="Calibri"/>
                <w:color w:val="000000"/>
                <w:lang w:val="fr-FR"/>
              </w:rPr>
              <w:t xml:space="preserve"> minutieusement les divergences au niveau du produit de base de la catégorie la plus basse en utilisant diverses entrées, y compris les connaissances des experts. </w:t>
            </w:r>
          </w:p>
        </w:tc>
      </w:tr>
      <w:tr w:rsidR="00B23307" w:rsidRPr="00A463C5" w14:paraId="04FE6C71" w14:textId="77777777" w:rsidTr="00606C69">
        <w:tc>
          <w:tcPr>
            <w:tcW w:w="9062" w:type="dxa"/>
            <w:gridSpan w:val="6"/>
            <w:shd w:val="clear" w:color="auto" w:fill="DEEAF6" w:themeFill="accent5" w:themeFillTint="33"/>
          </w:tcPr>
          <w:p w14:paraId="520AD79C" w14:textId="77777777" w:rsidR="00B23307" w:rsidRPr="00A463C5" w:rsidRDefault="00B23307" w:rsidP="00606C69">
            <w:pPr>
              <w:spacing w:after="0"/>
              <w:rPr>
                <w:lang w:val="fr-FR"/>
              </w:rPr>
            </w:pPr>
            <w:r w:rsidRPr="00A463C5">
              <w:rPr>
                <w:noProof/>
                <w:lang w:val="fr-FR"/>
              </w:rPr>
              <w:lastRenderedPageBreak/>
              <w:drawing>
                <wp:inline distT="0" distB="0" distL="0" distR="0" wp14:anchorId="1EDB8AB8" wp14:editId="67657D4C">
                  <wp:extent cx="288000" cy="288000"/>
                  <wp:effectExtent l="0" t="0" r="0" b="0"/>
                  <wp:docPr id="194" name="Graphic 194"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Calcul </w:t>
            </w:r>
          </w:p>
        </w:tc>
      </w:tr>
      <w:tr w:rsidR="00B23307" w:rsidRPr="00FD3D78" w14:paraId="328EFA46" w14:textId="77777777" w:rsidTr="00606C69">
        <w:tc>
          <w:tcPr>
            <w:tcW w:w="9062" w:type="dxa"/>
            <w:gridSpan w:val="6"/>
          </w:tcPr>
          <w:p w14:paraId="2F92ECB0" w14:textId="77777777" w:rsidR="00B23307" w:rsidRPr="00A463C5" w:rsidRDefault="00B23307" w:rsidP="00606C69">
            <w:pPr>
              <w:spacing w:after="0"/>
              <w:rPr>
                <w:rFonts w:ascii="Calibri" w:hAnsi="Calibri" w:cs="Calibri"/>
                <w:color w:val="000000"/>
                <w:lang w:val="fr-FR"/>
              </w:rPr>
            </w:pPr>
            <w:r w:rsidRPr="00A463C5">
              <w:rPr>
                <w:rFonts w:ascii="Calibri" w:hAnsi="Calibri" w:cs="Calibri"/>
                <w:color w:val="000000"/>
                <w:lang w:val="fr-FR"/>
              </w:rPr>
              <w:t>1. Observe</w:t>
            </w:r>
            <w:r>
              <w:rPr>
                <w:rFonts w:ascii="Calibri" w:hAnsi="Calibri" w:cs="Calibri"/>
                <w:color w:val="000000"/>
                <w:lang w:val="fr-FR"/>
              </w:rPr>
              <w:t>r</w:t>
            </w:r>
            <w:r w:rsidRPr="00A463C5">
              <w:rPr>
                <w:rFonts w:ascii="Calibri" w:hAnsi="Calibri" w:cs="Calibri"/>
                <w:color w:val="000000"/>
                <w:lang w:val="fr-FR"/>
              </w:rPr>
              <w:t xml:space="preserve"> la divergence au niveau le plus bas de l'agrégation des produits. </w:t>
            </w:r>
            <w:r w:rsidRPr="00A463C5">
              <w:rPr>
                <w:rFonts w:ascii="Calibri" w:hAnsi="Calibri" w:cs="Calibri"/>
                <w:color w:val="000000"/>
                <w:lang w:val="fr-FR"/>
              </w:rPr>
              <w:br/>
              <w:t>2. Calcule</w:t>
            </w:r>
            <w:r>
              <w:rPr>
                <w:rFonts w:ascii="Calibri" w:hAnsi="Calibri" w:cs="Calibri"/>
                <w:color w:val="000000"/>
                <w:lang w:val="fr-FR"/>
              </w:rPr>
              <w:t>r</w:t>
            </w:r>
            <w:r w:rsidRPr="00A463C5">
              <w:rPr>
                <w:rFonts w:ascii="Calibri" w:hAnsi="Calibri" w:cs="Calibri"/>
                <w:color w:val="000000"/>
                <w:lang w:val="fr-FR"/>
              </w:rPr>
              <w:t xml:space="preserve"> et applique</w:t>
            </w:r>
            <w:r>
              <w:rPr>
                <w:rFonts w:ascii="Calibri" w:hAnsi="Calibri" w:cs="Calibri"/>
                <w:color w:val="000000"/>
                <w:lang w:val="fr-FR"/>
              </w:rPr>
              <w:t>r</w:t>
            </w:r>
            <w:r w:rsidRPr="00A463C5">
              <w:rPr>
                <w:rFonts w:ascii="Calibri" w:hAnsi="Calibri" w:cs="Calibri"/>
                <w:color w:val="000000"/>
                <w:lang w:val="fr-FR"/>
              </w:rPr>
              <w:t xml:space="preserve"> le ratio C</w:t>
            </w:r>
            <w:r>
              <w:rPr>
                <w:rFonts w:ascii="Calibri" w:hAnsi="Calibri" w:cs="Calibri"/>
                <w:color w:val="000000"/>
                <w:lang w:val="fr-FR"/>
              </w:rPr>
              <w:t>A</w:t>
            </w:r>
            <w:r w:rsidRPr="00A463C5">
              <w:rPr>
                <w:rFonts w:ascii="Calibri" w:hAnsi="Calibri" w:cs="Calibri"/>
                <w:color w:val="000000"/>
                <w:lang w:val="fr-FR"/>
              </w:rPr>
              <w:t>F/</w:t>
            </w:r>
            <w:r>
              <w:rPr>
                <w:rFonts w:ascii="Calibri" w:hAnsi="Calibri" w:cs="Calibri"/>
                <w:color w:val="000000"/>
                <w:lang w:val="fr-FR"/>
              </w:rPr>
              <w:t>FA</w:t>
            </w:r>
            <w:r w:rsidRPr="00A463C5">
              <w:rPr>
                <w:rFonts w:ascii="Calibri" w:hAnsi="Calibri" w:cs="Calibri"/>
                <w:color w:val="000000"/>
                <w:lang w:val="fr-FR"/>
              </w:rPr>
              <w:t xml:space="preserve">B par produit, le cas échéant. </w:t>
            </w:r>
            <w:r w:rsidRPr="00A463C5">
              <w:rPr>
                <w:rFonts w:ascii="Calibri" w:hAnsi="Calibri" w:cs="Calibri"/>
                <w:color w:val="000000"/>
                <w:lang w:val="fr-FR"/>
              </w:rPr>
              <w:br/>
              <w:t>3. Observe</w:t>
            </w:r>
            <w:r>
              <w:rPr>
                <w:rFonts w:ascii="Calibri" w:hAnsi="Calibri" w:cs="Calibri"/>
                <w:color w:val="000000"/>
                <w:lang w:val="fr-FR"/>
              </w:rPr>
              <w:t>r</w:t>
            </w:r>
            <w:r w:rsidRPr="00A463C5">
              <w:rPr>
                <w:rFonts w:ascii="Calibri" w:hAnsi="Calibri" w:cs="Calibri"/>
                <w:color w:val="000000"/>
                <w:lang w:val="fr-FR"/>
              </w:rPr>
              <w:t xml:space="preserve"> les divergences restantes et vérifie</w:t>
            </w:r>
            <w:r>
              <w:rPr>
                <w:rFonts w:ascii="Calibri" w:hAnsi="Calibri" w:cs="Calibri"/>
                <w:color w:val="000000"/>
                <w:lang w:val="fr-FR"/>
              </w:rPr>
              <w:t>r</w:t>
            </w:r>
            <w:r w:rsidRPr="00A463C5">
              <w:rPr>
                <w:rFonts w:ascii="Calibri" w:hAnsi="Calibri" w:cs="Calibri"/>
                <w:color w:val="000000"/>
                <w:lang w:val="fr-FR"/>
              </w:rPr>
              <w:t xml:space="preserve"> quels facteurs sous-jacents les motivent. </w:t>
            </w:r>
            <w:r w:rsidRPr="00A463C5">
              <w:rPr>
                <w:rFonts w:ascii="Calibri" w:hAnsi="Calibri" w:cs="Calibri"/>
                <w:color w:val="000000"/>
                <w:lang w:val="fr-FR"/>
              </w:rPr>
              <w:br/>
            </w:r>
            <w:r w:rsidRPr="00E85AC3">
              <w:rPr>
                <w:rFonts w:ascii="Calibri" w:hAnsi="Calibri" w:cs="Calibri"/>
                <w:color w:val="000000"/>
                <w:lang w:val="fr-FR"/>
              </w:rPr>
              <w:t>4. Appliquer la pondération de la fiabilité.</w:t>
            </w:r>
            <w:r w:rsidRPr="00A463C5">
              <w:rPr>
                <w:rFonts w:ascii="Calibri" w:hAnsi="Calibri" w:cs="Calibri"/>
                <w:color w:val="000000"/>
                <w:lang w:val="fr-FR"/>
              </w:rPr>
              <w:t xml:space="preserve"> </w:t>
            </w:r>
            <w:r w:rsidRPr="00A463C5">
              <w:rPr>
                <w:rFonts w:ascii="Calibri" w:hAnsi="Calibri" w:cs="Calibri"/>
                <w:color w:val="000000"/>
                <w:lang w:val="fr-FR"/>
              </w:rPr>
              <w:br/>
              <w:t xml:space="preserve">5. </w:t>
            </w:r>
            <w:r w:rsidRPr="00E11D4A">
              <w:rPr>
                <w:rFonts w:ascii="Calibri" w:hAnsi="Calibri" w:cs="Calibri"/>
                <w:color w:val="000000"/>
                <w:lang w:val="fr-FR"/>
              </w:rPr>
              <w:t xml:space="preserve">Traiter l'écart restant au niveau le plus bas d'agrégation des produits comme une </w:t>
            </w:r>
            <w:r>
              <w:rPr>
                <w:rFonts w:ascii="Calibri" w:hAnsi="Calibri" w:cs="Calibri"/>
                <w:color w:val="000000"/>
                <w:lang w:val="fr-FR"/>
              </w:rPr>
              <w:t>fausse</w:t>
            </w:r>
            <w:r w:rsidRPr="00E11D4A">
              <w:rPr>
                <w:rFonts w:ascii="Calibri" w:hAnsi="Calibri" w:cs="Calibri"/>
                <w:color w:val="000000"/>
                <w:lang w:val="fr-FR"/>
              </w:rPr>
              <w:t xml:space="preserve"> facturation, et par conséquent des FFI fiscaux et commerciaux entrants et sortants.</w:t>
            </w:r>
            <w:r w:rsidRPr="00A463C5">
              <w:rPr>
                <w:rFonts w:ascii="Calibri" w:hAnsi="Calibri" w:cs="Calibri"/>
                <w:color w:val="000000"/>
                <w:lang w:val="fr-FR"/>
              </w:rPr>
              <w:br/>
              <w:t>6. Agrége</w:t>
            </w:r>
            <w:r>
              <w:rPr>
                <w:rFonts w:ascii="Calibri" w:hAnsi="Calibri" w:cs="Calibri"/>
                <w:color w:val="000000"/>
                <w:lang w:val="fr-FR"/>
              </w:rPr>
              <w:t>r</w:t>
            </w:r>
            <w:r w:rsidRPr="00A463C5">
              <w:rPr>
                <w:rFonts w:ascii="Calibri" w:hAnsi="Calibri" w:cs="Calibri"/>
                <w:color w:val="000000"/>
                <w:lang w:val="fr-FR"/>
              </w:rPr>
              <w:t xml:space="preserve"> le n°5. </w:t>
            </w:r>
          </w:p>
        </w:tc>
      </w:tr>
      <w:tr w:rsidR="00B23307" w:rsidRPr="00A463C5" w14:paraId="2E814290" w14:textId="77777777" w:rsidTr="00606C69">
        <w:tc>
          <w:tcPr>
            <w:tcW w:w="9062" w:type="dxa"/>
            <w:gridSpan w:val="6"/>
            <w:shd w:val="clear" w:color="auto" w:fill="DEEAF6" w:themeFill="accent5" w:themeFillTint="33"/>
          </w:tcPr>
          <w:p w14:paraId="32241D35" w14:textId="77777777" w:rsidR="00B23307" w:rsidRPr="00A463C5" w:rsidRDefault="00B23307" w:rsidP="00606C69">
            <w:pPr>
              <w:spacing w:after="0"/>
              <w:rPr>
                <w:lang w:val="fr-FR"/>
              </w:rPr>
            </w:pPr>
            <w:r w:rsidRPr="00A463C5">
              <w:rPr>
                <w:noProof/>
                <w:lang w:val="fr-FR"/>
              </w:rPr>
              <w:drawing>
                <wp:inline distT="0" distB="0" distL="0" distR="0" wp14:anchorId="3B84BF40" wp14:editId="6EA9D0A4">
                  <wp:extent cx="288000" cy="288000"/>
                  <wp:effectExtent l="0" t="0" r="0" b="0"/>
                  <wp:docPr id="6" name="Graphic 6"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8000" cy="288000"/>
                          </a:xfrm>
                          <a:prstGeom prst="rect">
                            <a:avLst/>
                          </a:prstGeom>
                        </pic:spPr>
                      </pic:pic>
                    </a:graphicData>
                  </a:graphic>
                </wp:inline>
              </w:drawing>
            </w:r>
            <w:r w:rsidRPr="00A463C5">
              <w:rPr>
                <w:b/>
                <w:bCs/>
                <w:lang w:val="fr-FR"/>
              </w:rPr>
              <w:t>Résultats</w:t>
            </w:r>
          </w:p>
        </w:tc>
      </w:tr>
      <w:tr w:rsidR="00B23307" w:rsidRPr="004A729B" w14:paraId="3E00814E" w14:textId="77777777" w:rsidTr="00606C69">
        <w:tc>
          <w:tcPr>
            <w:tcW w:w="9062" w:type="dxa"/>
            <w:gridSpan w:val="6"/>
          </w:tcPr>
          <w:p w14:paraId="2FE34CA7" w14:textId="77777777" w:rsidR="00B23307" w:rsidRPr="00A463C5" w:rsidRDefault="00B23307" w:rsidP="00606C69">
            <w:pPr>
              <w:spacing w:after="0"/>
              <w:rPr>
                <w:lang w:val="fr-FR"/>
              </w:rPr>
            </w:pPr>
            <w:r w:rsidRPr="00A463C5">
              <w:rPr>
                <w:lang w:val="fr-FR"/>
              </w:rPr>
              <w:t xml:space="preserve">Les résultats </w:t>
            </w:r>
            <w:r w:rsidRPr="00F33FEE">
              <w:rPr>
                <w:lang w:val="fr-FR"/>
              </w:rPr>
              <w:t xml:space="preserve">sont présentés annuellement pour l'ensemble de l’économie </w:t>
            </w:r>
            <w:r w:rsidRPr="00A463C5">
              <w:rPr>
                <w:lang w:val="fr-FR"/>
              </w:rPr>
              <w:t>: les entrées et les sorties</w:t>
            </w:r>
            <w:r>
              <w:rPr>
                <w:lang w:val="fr-FR"/>
              </w:rPr>
              <w:t xml:space="preserve"> des FFI</w:t>
            </w:r>
            <w:r w:rsidRPr="00A463C5">
              <w:rPr>
                <w:lang w:val="fr-FR"/>
              </w:rPr>
              <w:t>.</w:t>
            </w:r>
          </w:p>
        </w:tc>
      </w:tr>
      <w:tr w:rsidR="00B23307" w:rsidRPr="00A463C5" w14:paraId="60BAC1F2" w14:textId="77777777" w:rsidTr="00606C69">
        <w:tc>
          <w:tcPr>
            <w:tcW w:w="9062" w:type="dxa"/>
            <w:gridSpan w:val="6"/>
            <w:shd w:val="clear" w:color="auto" w:fill="DEEAF6" w:themeFill="accent5" w:themeFillTint="33"/>
          </w:tcPr>
          <w:p w14:paraId="346D509F" w14:textId="77777777" w:rsidR="00B23307" w:rsidRPr="00A463C5" w:rsidRDefault="00B23307" w:rsidP="00606C69">
            <w:pPr>
              <w:spacing w:after="0"/>
              <w:rPr>
                <w:lang w:val="fr-FR"/>
              </w:rPr>
            </w:pPr>
            <w:r w:rsidRPr="00A463C5">
              <w:rPr>
                <w:noProof/>
                <w:lang w:val="fr-FR"/>
              </w:rPr>
              <w:drawing>
                <wp:inline distT="0" distB="0" distL="0" distR="0" wp14:anchorId="03B60DFB" wp14:editId="7A4306F5">
                  <wp:extent cx="288000" cy="288000"/>
                  <wp:effectExtent l="0" t="0" r="0" b="0"/>
                  <wp:docPr id="197" name="Graphic 197"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7"/>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Note(s) spéciale(s) </w:t>
            </w:r>
          </w:p>
        </w:tc>
      </w:tr>
      <w:tr w:rsidR="00B23307" w:rsidRPr="004A729B" w14:paraId="1A481A73" w14:textId="77777777" w:rsidTr="00606C69">
        <w:tc>
          <w:tcPr>
            <w:tcW w:w="9062" w:type="dxa"/>
            <w:gridSpan w:val="6"/>
          </w:tcPr>
          <w:p w14:paraId="77AF471D" w14:textId="77777777" w:rsidR="00B23307" w:rsidRPr="00A463C5" w:rsidRDefault="00B23307" w:rsidP="00606C69">
            <w:pPr>
              <w:spacing w:after="0"/>
              <w:rPr>
                <w:lang w:val="fr-FR"/>
              </w:rPr>
            </w:pPr>
            <w:r w:rsidRPr="00A463C5">
              <w:rPr>
                <w:lang w:val="fr-FR"/>
              </w:rPr>
              <w:t>Collaboration étroite avec les unités statistiques des autorités douanières.</w:t>
            </w:r>
          </w:p>
        </w:tc>
      </w:tr>
      <w:tr w:rsidR="00B23307" w:rsidRPr="00A463C5" w14:paraId="2BC5BAB3" w14:textId="77777777" w:rsidTr="00606C69">
        <w:tc>
          <w:tcPr>
            <w:tcW w:w="9062" w:type="dxa"/>
            <w:gridSpan w:val="6"/>
            <w:shd w:val="clear" w:color="auto" w:fill="DEEAF6" w:themeFill="accent5" w:themeFillTint="33"/>
          </w:tcPr>
          <w:p w14:paraId="5B2B6B71" w14:textId="77777777" w:rsidR="00B23307" w:rsidRPr="00A463C5" w:rsidRDefault="00B23307" w:rsidP="00606C69">
            <w:pPr>
              <w:spacing w:after="0"/>
              <w:rPr>
                <w:lang w:val="fr-FR"/>
              </w:rPr>
            </w:pPr>
            <w:r w:rsidRPr="00A463C5">
              <w:rPr>
                <w:noProof/>
                <w:lang w:val="fr-FR"/>
              </w:rPr>
              <w:drawing>
                <wp:inline distT="0" distB="0" distL="0" distR="0" wp14:anchorId="786EEEB8" wp14:editId="52C903A7">
                  <wp:extent cx="288000" cy="288000"/>
                  <wp:effectExtent l="0" t="0" r="0" b="0"/>
                  <wp:docPr id="198" name="Graphic 198"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8"/>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8000" cy="288000"/>
                          </a:xfrm>
                          <a:prstGeom prst="rect">
                            <a:avLst/>
                          </a:prstGeom>
                        </pic:spPr>
                      </pic:pic>
                    </a:graphicData>
                  </a:graphic>
                </wp:inline>
              </w:drawing>
            </w:r>
            <w:r w:rsidRPr="00A463C5">
              <w:rPr>
                <w:b/>
                <w:bCs/>
                <w:lang w:val="fr-FR"/>
              </w:rPr>
              <w:t>Études de cas</w:t>
            </w:r>
          </w:p>
        </w:tc>
      </w:tr>
      <w:tr w:rsidR="00B23307" w:rsidRPr="004A729B" w14:paraId="40046D3D" w14:textId="77777777" w:rsidTr="00606C69">
        <w:tc>
          <w:tcPr>
            <w:tcW w:w="9062" w:type="dxa"/>
            <w:gridSpan w:val="6"/>
          </w:tcPr>
          <w:p w14:paraId="5B98270A" w14:textId="77777777" w:rsidR="00B23307" w:rsidRPr="003E5BC6" w:rsidRDefault="00B23307" w:rsidP="00606C69">
            <w:pPr>
              <w:spacing w:after="0"/>
              <w:rPr>
                <w:lang w:val="fr-FR"/>
              </w:rPr>
            </w:pPr>
            <w:r w:rsidRPr="003E5BC6">
              <w:rPr>
                <w:lang w:val="fr-FR"/>
              </w:rPr>
              <w:t>1. CAF par produit de base (Schuster and Davis, 2020).</w:t>
            </w:r>
          </w:p>
          <w:p w14:paraId="771E8571" w14:textId="77777777" w:rsidR="00B23307" w:rsidRPr="003E5BC6" w:rsidRDefault="00B23307" w:rsidP="00606C69">
            <w:pPr>
              <w:spacing w:after="0"/>
              <w:rPr>
                <w:lang w:val="fr-FR"/>
              </w:rPr>
            </w:pPr>
            <w:r w:rsidRPr="003E5BC6">
              <w:rPr>
                <w:lang w:val="fr-FR"/>
              </w:rPr>
              <w:t xml:space="preserve">2. </w:t>
            </w:r>
            <w:r w:rsidRPr="001817BB">
              <w:rPr>
                <w:lang w:val="fr-FR"/>
              </w:rPr>
              <w:t xml:space="preserve">Pays de provenance des téléphones mobiles dans le commerce entre le Canada et la Chine </w:t>
            </w:r>
            <w:r w:rsidRPr="003E5BC6">
              <w:rPr>
                <w:lang w:val="fr-FR"/>
              </w:rPr>
              <w:t>(UNSD, 2019).</w:t>
            </w:r>
          </w:p>
          <w:p w14:paraId="68F245F2" w14:textId="77777777" w:rsidR="00B23307" w:rsidRPr="003E5BC6" w:rsidRDefault="00B23307" w:rsidP="00606C69">
            <w:pPr>
              <w:spacing w:after="0"/>
              <w:rPr>
                <w:lang w:val="fr-FR"/>
              </w:rPr>
            </w:pPr>
            <w:r w:rsidRPr="003E5BC6">
              <w:rPr>
                <w:lang w:val="fr-FR"/>
              </w:rPr>
              <w:t>3. Études conjointes sur les asymétries commerciales bilatérales (European Commission, 2009 ; Statistics Canada, 2019).</w:t>
            </w:r>
          </w:p>
          <w:p w14:paraId="31724588" w14:textId="77777777" w:rsidR="00B23307" w:rsidRPr="003E5BC6" w:rsidRDefault="00B23307" w:rsidP="00606C69">
            <w:pPr>
              <w:spacing w:after="0"/>
              <w:rPr>
                <w:lang w:val="fr-FR"/>
              </w:rPr>
            </w:pPr>
            <w:r w:rsidRPr="003E5BC6">
              <w:rPr>
                <w:lang w:val="fr-FR"/>
              </w:rPr>
              <w:t xml:space="preserve">4. </w:t>
            </w:r>
            <w:r w:rsidRPr="003E5BC6">
              <w:rPr>
                <w:rFonts w:cstheme="minorHAnsi"/>
                <w:color w:val="000000"/>
                <w:shd w:val="clear" w:color="auto" w:fill="FFFFFF"/>
                <w:lang w:val="fr-FR"/>
              </w:rPr>
              <w:t>Les écarts de pondération</w:t>
            </w:r>
            <w:r w:rsidRPr="003E5BC6">
              <w:rPr>
                <w:rFonts w:cstheme="minorHAnsi"/>
                <w:lang w:val="fr-FR"/>
              </w:rPr>
              <w:t xml:space="preserve"> (UNECLAC, 2016).</w:t>
            </w:r>
          </w:p>
          <w:p w14:paraId="07E24C79" w14:textId="77777777" w:rsidR="00B23307" w:rsidRPr="003E5BC6" w:rsidRDefault="00B23307" w:rsidP="00606C69">
            <w:pPr>
              <w:spacing w:after="0"/>
              <w:rPr>
                <w:lang w:val="fr-FR"/>
              </w:rPr>
            </w:pPr>
            <w:r w:rsidRPr="003E5BC6">
              <w:rPr>
                <w:lang w:val="fr-FR"/>
              </w:rPr>
              <w:t>5. PCM pour les importations d'Afrique du Sud (WCO, 2018).</w:t>
            </w:r>
          </w:p>
          <w:p w14:paraId="0F9C7E2D" w14:textId="77777777" w:rsidR="00B23307" w:rsidRPr="003E5BC6" w:rsidRDefault="00B23307" w:rsidP="00606C69">
            <w:pPr>
              <w:spacing w:after="0"/>
              <w:rPr>
                <w:lang w:val="fr-FR"/>
              </w:rPr>
            </w:pPr>
            <w:r w:rsidRPr="003E5BC6">
              <w:rPr>
                <w:lang w:val="fr-FR"/>
              </w:rPr>
              <w:t>6. Fausse</w:t>
            </w:r>
            <w:r>
              <w:rPr>
                <w:lang w:val="fr-FR"/>
              </w:rPr>
              <w:t>s</w:t>
            </w:r>
            <w:r w:rsidRPr="003E5BC6">
              <w:rPr>
                <w:lang w:val="fr-FR"/>
              </w:rPr>
              <w:t xml:space="preserve"> factur</w:t>
            </w:r>
            <w:r>
              <w:rPr>
                <w:lang w:val="fr-FR"/>
              </w:rPr>
              <w:t>ations</w:t>
            </w:r>
            <w:r w:rsidRPr="003E5BC6">
              <w:rPr>
                <w:lang w:val="fr-FR"/>
              </w:rPr>
              <w:t xml:space="preserve"> commerciale</w:t>
            </w:r>
            <w:r>
              <w:rPr>
                <w:lang w:val="fr-FR"/>
              </w:rPr>
              <w:t xml:space="preserve">s </w:t>
            </w:r>
            <w:r w:rsidRPr="003E5BC6">
              <w:rPr>
                <w:lang w:val="fr-FR"/>
              </w:rPr>
              <w:t>dans la région arabe (UNESCWA, 2016).</w:t>
            </w:r>
          </w:p>
          <w:p w14:paraId="01A12B04" w14:textId="77777777" w:rsidR="00B23307" w:rsidRPr="003E5BC6" w:rsidRDefault="00B23307" w:rsidP="00606C69">
            <w:pPr>
              <w:spacing w:after="0"/>
              <w:rPr>
                <w:lang w:val="fr-FR"/>
              </w:rPr>
            </w:pPr>
            <w:r w:rsidRPr="003E5BC6">
              <w:rPr>
                <w:lang w:val="fr-FR"/>
              </w:rPr>
              <w:t>7. Fausses factur</w:t>
            </w:r>
            <w:r>
              <w:rPr>
                <w:lang w:val="fr-FR"/>
              </w:rPr>
              <w:t xml:space="preserve">ations </w:t>
            </w:r>
            <w:r w:rsidRPr="003E5BC6">
              <w:rPr>
                <w:lang w:val="fr-FR"/>
              </w:rPr>
              <w:t>commerciales en Asie et dans le Pacifique (Kravchenko, 2018).</w:t>
            </w:r>
          </w:p>
          <w:p w14:paraId="1EFBE171" w14:textId="77777777" w:rsidR="00B23307" w:rsidRPr="003E5BC6" w:rsidRDefault="00B23307" w:rsidP="00606C69">
            <w:pPr>
              <w:spacing w:after="0"/>
              <w:rPr>
                <w:lang w:val="fr-FR"/>
              </w:rPr>
            </w:pPr>
            <w:r w:rsidRPr="003E5BC6">
              <w:rPr>
                <w:lang w:val="fr-FR"/>
              </w:rPr>
              <w:t>8. L'écart commercial miroir en Afrique (Schuster and Davis, 2020).</w:t>
            </w:r>
          </w:p>
        </w:tc>
      </w:tr>
    </w:tbl>
    <w:p w14:paraId="04DFA38E" w14:textId="77777777" w:rsidR="00B23307" w:rsidRPr="00A463C5" w:rsidRDefault="00B23307" w:rsidP="00B23307">
      <w:pPr>
        <w:rPr>
          <w:lang w:val="fr-FR"/>
        </w:rPr>
      </w:pPr>
    </w:p>
    <w:p w14:paraId="1292270D" w14:textId="77777777" w:rsidR="00B23307" w:rsidRPr="00A463C5" w:rsidRDefault="00B23307" w:rsidP="00B23307">
      <w:pPr>
        <w:rPr>
          <w:lang w:val="fr-FR"/>
        </w:rPr>
      </w:pPr>
      <w:r w:rsidRPr="00A463C5">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845"/>
      </w:tblGrid>
      <w:tr w:rsidR="00B23307" w:rsidRPr="004A729B" w14:paraId="6F9FA291" w14:textId="77777777" w:rsidTr="00606C69">
        <w:tc>
          <w:tcPr>
            <w:tcW w:w="2265" w:type="dxa"/>
            <w:tcBorders>
              <w:right w:val="nil"/>
            </w:tcBorders>
            <w:shd w:val="clear" w:color="auto" w:fill="DEEAF6" w:themeFill="accent5" w:themeFillTint="33"/>
          </w:tcPr>
          <w:p w14:paraId="0BF0D480" w14:textId="77777777" w:rsidR="00B23307" w:rsidRPr="00A463C5" w:rsidRDefault="00B23307" w:rsidP="00606C69">
            <w:pPr>
              <w:spacing w:after="0"/>
              <w:rPr>
                <w:lang w:val="fr-FR"/>
              </w:rPr>
            </w:pPr>
            <w:r w:rsidRPr="00A463C5">
              <w:rPr>
                <w:b/>
                <w:bCs/>
                <w:lang w:val="fr-FR"/>
              </w:rPr>
              <w:lastRenderedPageBreak/>
              <w:t>Fiche d'information sur la méthode</w:t>
            </w:r>
          </w:p>
        </w:tc>
        <w:tc>
          <w:tcPr>
            <w:tcW w:w="6797" w:type="dxa"/>
            <w:gridSpan w:val="5"/>
            <w:tcBorders>
              <w:left w:val="nil"/>
            </w:tcBorders>
            <w:shd w:val="clear" w:color="auto" w:fill="DEEAF6" w:themeFill="accent5" w:themeFillTint="33"/>
          </w:tcPr>
          <w:p w14:paraId="3114DD83" w14:textId="77777777" w:rsidR="00B23307" w:rsidRPr="00A463C5" w:rsidRDefault="00B23307" w:rsidP="00606C69">
            <w:pPr>
              <w:spacing w:after="0"/>
              <w:jc w:val="right"/>
              <w:rPr>
                <w:b/>
                <w:bCs/>
                <w:lang w:val="fr-FR"/>
              </w:rPr>
            </w:pPr>
            <w:r>
              <w:rPr>
                <w:b/>
                <w:bCs/>
                <w:lang w:val="fr-FR"/>
              </w:rPr>
              <w:t xml:space="preserve">       </w:t>
            </w:r>
            <w:r w:rsidRPr="00A463C5">
              <w:rPr>
                <w:b/>
                <w:bCs/>
                <w:lang w:val="fr-FR"/>
              </w:rPr>
              <w:t xml:space="preserve">DIRECTIVES MÉTHODOLOGIQUES POUR MESURER </w:t>
            </w:r>
          </w:p>
          <w:p w14:paraId="0882A81C" w14:textId="77777777" w:rsidR="00B23307" w:rsidRPr="00A463C5" w:rsidRDefault="00B23307" w:rsidP="00606C69">
            <w:pPr>
              <w:spacing w:after="0"/>
              <w:jc w:val="right"/>
              <w:rPr>
                <w:b/>
                <w:bCs/>
                <w:lang w:val="fr-FR"/>
              </w:rPr>
            </w:pPr>
            <w:r w:rsidRPr="00A463C5">
              <w:rPr>
                <w:b/>
                <w:bCs/>
                <w:lang w:val="fr-FR"/>
              </w:rPr>
              <w:t xml:space="preserve">LES FLUX FINANCIERS ILLICITES FISCAUX ET COMMERCIAUX </w:t>
            </w:r>
          </w:p>
          <w:p w14:paraId="1777F285" w14:textId="5C5C99E3" w:rsidR="00B23307" w:rsidRPr="00A463C5" w:rsidRDefault="00B23307" w:rsidP="00606C69">
            <w:pPr>
              <w:spacing w:after="0"/>
              <w:jc w:val="right"/>
              <w:rPr>
                <w:b/>
                <w:bCs/>
                <w:sz w:val="20"/>
                <w:szCs w:val="20"/>
                <w:lang w:val="fr-FR"/>
              </w:rPr>
            </w:pPr>
            <w:r w:rsidRPr="00A463C5">
              <w:rPr>
                <w:b/>
                <w:bCs/>
                <w:sz w:val="20"/>
                <w:szCs w:val="20"/>
                <w:lang w:val="fr-FR"/>
              </w:rPr>
              <w:t xml:space="preserve">Méthodes pour les </w:t>
            </w:r>
            <w:r w:rsidR="00E302C1">
              <w:rPr>
                <w:b/>
                <w:bCs/>
                <w:sz w:val="20"/>
                <w:szCs w:val="20"/>
                <w:lang w:val="fr-FR"/>
              </w:rPr>
              <w:t>tests</w:t>
            </w:r>
            <w:r w:rsidRPr="00A463C5">
              <w:rPr>
                <w:b/>
                <w:bCs/>
                <w:sz w:val="20"/>
                <w:szCs w:val="20"/>
                <w:lang w:val="fr-FR"/>
              </w:rPr>
              <w:t xml:space="preserve"> pilotes</w:t>
            </w:r>
          </w:p>
        </w:tc>
      </w:tr>
      <w:tr w:rsidR="00B23307" w:rsidRPr="004A729B" w14:paraId="50778BF2" w14:textId="77777777" w:rsidTr="00606C69">
        <w:tc>
          <w:tcPr>
            <w:tcW w:w="2405" w:type="dxa"/>
            <w:gridSpan w:val="2"/>
            <w:shd w:val="clear" w:color="auto" w:fill="DEEAF6" w:themeFill="accent5" w:themeFillTint="33"/>
          </w:tcPr>
          <w:p w14:paraId="5A2C951A" w14:textId="77777777" w:rsidR="00B23307" w:rsidRPr="00A463C5" w:rsidRDefault="00B23307" w:rsidP="00606C69">
            <w:pPr>
              <w:spacing w:after="0"/>
              <w:rPr>
                <w:b/>
                <w:bCs/>
                <w:lang w:val="fr-FR"/>
              </w:rPr>
            </w:pPr>
            <w:r w:rsidRPr="00A463C5">
              <w:rPr>
                <w:b/>
                <w:bCs/>
                <w:lang w:val="fr-FR"/>
              </w:rPr>
              <w:t>Titre de la méthode</w:t>
            </w:r>
          </w:p>
        </w:tc>
        <w:tc>
          <w:tcPr>
            <w:tcW w:w="6657" w:type="dxa"/>
            <w:gridSpan w:val="4"/>
          </w:tcPr>
          <w:p w14:paraId="7B60ED2B" w14:textId="77777777" w:rsidR="00B23307" w:rsidRPr="00A463C5" w:rsidRDefault="00B23307" w:rsidP="00606C69">
            <w:pPr>
              <w:spacing w:after="0"/>
              <w:rPr>
                <w:lang w:val="fr-FR"/>
              </w:rPr>
            </w:pPr>
            <w:r w:rsidRPr="00A463C5">
              <w:rPr>
                <w:lang w:val="fr-FR"/>
              </w:rPr>
              <w:t>#2 Méthode d</w:t>
            </w:r>
            <w:r>
              <w:rPr>
                <w:lang w:val="fr-FR"/>
              </w:rPr>
              <w:t>e</w:t>
            </w:r>
            <w:r w:rsidRPr="00A463C5">
              <w:rPr>
                <w:lang w:val="fr-FR"/>
              </w:rPr>
              <w:t xml:space="preserve"> filtr</w:t>
            </w:r>
            <w:r>
              <w:rPr>
                <w:lang w:val="fr-FR"/>
              </w:rPr>
              <w:t>age</w:t>
            </w:r>
            <w:r w:rsidRPr="00A463C5">
              <w:rPr>
                <w:lang w:val="fr-FR"/>
              </w:rPr>
              <w:t xml:space="preserve"> de</w:t>
            </w:r>
            <w:r>
              <w:rPr>
                <w:lang w:val="fr-FR"/>
              </w:rPr>
              <w:t>s</w:t>
            </w:r>
            <w:r w:rsidRPr="00A463C5">
              <w:rPr>
                <w:lang w:val="fr-FR"/>
              </w:rPr>
              <w:t xml:space="preserve"> prix (PFM) +</w:t>
            </w:r>
          </w:p>
        </w:tc>
      </w:tr>
      <w:tr w:rsidR="00B23307" w:rsidRPr="00A463C5" w14:paraId="2AE6508C" w14:textId="77777777" w:rsidTr="00606C69">
        <w:tc>
          <w:tcPr>
            <w:tcW w:w="2405" w:type="dxa"/>
            <w:gridSpan w:val="2"/>
            <w:shd w:val="clear" w:color="auto" w:fill="DEEAF6" w:themeFill="accent5" w:themeFillTint="33"/>
          </w:tcPr>
          <w:p w14:paraId="1540B089" w14:textId="77777777" w:rsidR="00B23307" w:rsidRPr="00A463C5" w:rsidRDefault="00B23307" w:rsidP="00606C69">
            <w:pPr>
              <w:spacing w:after="0"/>
              <w:rPr>
                <w:b/>
                <w:bCs/>
                <w:lang w:val="fr-FR"/>
              </w:rPr>
            </w:pPr>
            <w:r w:rsidRPr="00A463C5">
              <w:rPr>
                <w:b/>
                <w:bCs/>
                <w:lang w:val="fr-FR"/>
              </w:rPr>
              <w:t>Titre(s) alternatif(s)</w:t>
            </w:r>
          </w:p>
        </w:tc>
        <w:tc>
          <w:tcPr>
            <w:tcW w:w="6657" w:type="dxa"/>
            <w:gridSpan w:val="4"/>
          </w:tcPr>
          <w:p w14:paraId="6DC147A4" w14:textId="77777777" w:rsidR="00B23307" w:rsidRPr="00A463C5" w:rsidRDefault="00B23307" w:rsidP="00606C69">
            <w:pPr>
              <w:spacing w:after="0"/>
              <w:rPr>
                <w:lang w:val="fr-FR"/>
              </w:rPr>
            </w:pPr>
            <w:r w:rsidRPr="00A463C5">
              <w:rPr>
                <w:lang w:val="fr-FR"/>
              </w:rPr>
              <w:t>Prix anormaux</w:t>
            </w:r>
          </w:p>
        </w:tc>
      </w:tr>
      <w:tr w:rsidR="00B23307" w:rsidRPr="00A463C5" w14:paraId="213438E0" w14:textId="77777777" w:rsidTr="00606C69">
        <w:tc>
          <w:tcPr>
            <w:tcW w:w="2405" w:type="dxa"/>
            <w:gridSpan w:val="2"/>
            <w:shd w:val="clear" w:color="auto" w:fill="DEEAF6" w:themeFill="accent5" w:themeFillTint="33"/>
          </w:tcPr>
          <w:p w14:paraId="60ACC8F9" w14:textId="77777777" w:rsidR="00B23307" w:rsidRPr="00A463C5" w:rsidRDefault="00B23307" w:rsidP="00606C69">
            <w:pPr>
              <w:spacing w:after="0"/>
              <w:rPr>
                <w:b/>
                <w:bCs/>
                <w:lang w:val="fr-FR"/>
              </w:rPr>
            </w:pPr>
            <w:r w:rsidRPr="00A463C5">
              <w:rPr>
                <w:b/>
                <w:bCs/>
                <w:lang w:val="fr-FR"/>
              </w:rPr>
              <w:t>Groupe de méthodes</w:t>
            </w:r>
          </w:p>
        </w:tc>
        <w:tc>
          <w:tcPr>
            <w:tcW w:w="6657" w:type="dxa"/>
            <w:gridSpan w:val="4"/>
          </w:tcPr>
          <w:p w14:paraId="5FA6E88C" w14:textId="77777777" w:rsidR="00B23307" w:rsidRPr="00A463C5" w:rsidRDefault="00B23307" w:rsidP="00606C69">
            <w:pPr>
              <w:spacing w:after="0"/>
              <w:rPr>
                <w:lang w:val="fr-FR"/>
              </w:rPr>
            </w:pPr>
            <w:r w:rsidRPr="00A463C5">
              <w:rPr>
                <w:lang w:val="fr-FR"/>
              </w:rPr>
              <w:t>Fausse factur</w:t>
            </w:r>
            <w:r>
              <w:rPr>
                <w:lang w:val="fr-FR"/>
              </w:rPr>
              <w:t>ation</w:t>
            </w:r>
            <w:r w:rsidRPr="00A463C5">
              <w:rPr>
                <w:lang w:val="fr-FR"/>
              </w:rPr>
              <w:t xml:space="preserve"> commerciale</w:t>
            </w:r>
          </w:p>
        </w:tc>
      </w:tr>
      <w:tr w:rsidR="00B23307" w:rsidRPr="00A463C5" w14:paraId="18D0A96F" w14:textId="77777777" w:rsidTr="00606C69">
        <w:tc>
          <w:tcPr>
            <w:tcW w:w="2405" w:type="dxa"/>
            <w:gridSpan w:val="2"/>
            <w:shd w:val="clear" w:color="auto" w:fill="DEEAF6" w:themeFill="accent5" w:themeFillTint="33"/>
          </w:tcPr>
          <w:p w14:paraId="6B76A012" w14:textId="77777777" w:rsidR="00B23307" w:rsidRPr="00A463C5" w:rsidRDefault="00B23307" w:rsidP="00606C69">
            <w:pPr>
              <w:spacing w:after="0"/>
              <w:rPr>
                <w:b/>
                <w:bCs/>
                <w:lang w:val="fr-FR"/>
              </w:rPr>
            </w:pPr>
            <w:bookmarkStart w:id="1" w:name="_Hlk66616892"/>
            <w:r w:rsidRPr="00A463C5">
              <w:rPr>
                <w:b/>
                <w:bCs/>
                <w:lang w:val="fr-FR"/>
              </w:rPr>
              <w:t xml:space="preserve">Type de flux </w:t>
            </w:r>
            <w:r>
              <w:rPr>
                <w:b/>
                <w:bCs/>
                <w:lang w:val="fr-FR"/>
              </w:rPr>
              <w:t>FFI</w:t>
            </w:r>
            <w:r w:rsidRPr="00A463C5">
              <w:rPr>
                <w:b/>
                <w:bCs/>
                <w:lang w:val="fr-FR"/>
              </w:rPr>
              <w:t xml:space="preserve"> ciblés</w:t>
            </w:r>
          </w:p>
        </w:tc>
        <w:tc>
          <w:tcPr>
            <w:tcW w:w="3827" w:type="dxa"/>
            <w:gridSpan w:val="2"/>
          </w:tcPr>
          <w:p w14:paraId="40E7C34E" w14:textId="3A092851" w:rsidR="00B23307" w:rsidRPr="00A463C5" w:rsidRDefault="00B23307" w:rsidP="00606C69">
            <w:pPr>
              <w:spacing w:after="0"/>
              <w:rPr>
                <w:lang w:val="fr-FR"/>
              </w:rPr>
            </w:pPr>
            <w:r w:rsidRPr="00A463C5">
              <w:rPr>
                <w:lang w:val="fr-FR"/>
              </w:rPr>
              <w:t xml:space="preserve">F2 </w:t>
            </w:r>
            <w:r>
              <w:rPr>
                <w:lang w:val="fr-FR"/>
              </w:rPr>
              <w:t>Fausse</w:t>
            </w:r>
            <w:r w:rsidRPr="00A463C5">
              <w:rPr>
                <w:lang w:val="fr-FR"/>
              </w:rPr>
              <w:t xml:space="preserve"> factur</w:t>
            </w:r>
            <w:r>
              <w:rPr>
                <w:lang w:val="fr-FR"/>
              </w:rPr>
              <w:t>ation</w:t>
            </w:r>
            <w:r w:rsidRPr="00A463C5">
              <w:rPr>
                <w:lang w:val="fr-FR"/>
              </w:rPr>
              <w:t xml:space="preserve"> commerciale</w:t>
            </w:r>
            <w:r w:rsidR="002B51E0">
              <w:rPr>
                <w:lang w:val="fr-FR"/>
              </w:rPr>
              <w:t xml:space="preserve"> par les entités</w:t>
            </w:r>
          </w:p>
        </w:tc>
        <w:tc>
          <w:tcPr>
            <w:tcW w:w="1985" w:type="dxa"/>
            <w:shd w:val="clear" w:color="auto" w:fill="DEEAF6" w:themeFill="accent5" w:themeFillTint="33"/>
          </w:tcPr>
          <w:p w14:paraId="163C6F6A" w14:textId="77777777" w:rsidR="00B23307" w:rsidRPr="00A463C5" w:rsidRDefault="00B23307" w:rsidP="00606C69">
            <w:pPr>
              <w:spacing w:after="0"/>
              <w:rPr>
                <w:b/>
                <w:bCs/>
                <w:lang w:val="fr-FR"/>
              </w:rPr>
            </w:pPr>
            <w:r w:rsidRPr="00A463C5">
              <w:rPr>
                <w:b/>
                <w:bCs/>
                <w:lang w:val="fr-FR"/>
              </w:rPr>
              <w:t>Classification par niveau</w:t>
            </w:r>
          </w:p>
        </w:tc>
        <w:tc>
          <w:tcPr>
            <w:tcW w:w="845" w:type="dxa"/>
          </w:tcPr>
          <w:p w14:paraId="278AF473" w14:textId="77777777" w:rsidR="00B23307" w:rsidRPr="00A463C5" w:rsidRDefault="00B23307" w:rsidP="00606C69">
            <w:pPr>
              <w:spacing w:after="0"/>
              <w:rPr>
                <w:lang w:val="fr-FR"/>
              </w:rPr>
            </w:pPr>
            <w:r w:rsidRPr="00A463C5">
              <w:rPr>
                <w:lang w:val="fr-FR"/>
              </w:rPr>
              <w:t>Niveau 1</w:t>
            </w:r>
          </w:p>
        </w:tc>
      </w:tr>
      <w:bookmarkEnd w:id="1"/>
      <w:tr w:rsidR="00B23307" w:rsidRPr="00A463C5" w14:paraId="7238978B" w14:textId="77777777" w:rsidTr="00606C69">
        <w:tc>
          <w:tcPr>
            <w:tcW w:w="9062" w:type="dxa"/>
            <w:gridSpan w:val="6"/>
            <w:shd w:val="clear" w:color="auto" w:fill="DEEAF6" w:themeFill="accent5" w:themeFillTint="33"/>
          </w:tcPr>
          <w:p w14:paraId="1800D002" w14:textId="77777777" w:rsidR="00B23307" w:rsidRPr="00A463C5" w:rsidRDefault="00B23307" w:rsidP="00606C69">
            <w:pPr>
              <w:spacing w:after="0"/>
              <w:rPr>
                <w:lang w:val="fr-FR"/>
              </w:rPr>
            </w:pPr>
            <w:r w:rsidRPr="00A463C5">
              <w:rPr>
                <w:noProof/>
                <w:lang w:val="fr-FR"/>
              </w:rPr>
              <w:drawing>
                <wp:inline distT="0" distB="0" distL="0" distR="0" wp14:anchorId="049DEC6C" wp14:editId="39839B0A">
                  <wp:extent cx="288000" cy="288000"/>
                  <wp:effectExtent l="0" t="0" r="0" b="0"/>
                  <wp:docPr id="10" name="Graphic 10"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Concept </w:t>
            </w:r>
          </w:p>
        </w:tc>
      </w:tr>
      <w:tr w:rsidR="00B23307" w:rsidRPr="004A729B" w14:paraId="1874B2FD" w14:textId="77777777" w:rsidTr="00606C69">
        <w:tc>
          <w:tcPr>
            <w:tcW w:w="9062" w:type="dxa"/>
            <w:gridSpan w:val="6"/>
          </w:tcPr>
          <w:p w14:paraId="001A9FE5" w14:textId="77777777" w:rsidR="00B23307" w:rsidRPr="00A463C5" w:rsidRDefault="00B23307" w:rsidP="00606C69">
            <w:pPr>
              <w:spacing w:after="0"/>
              <w:rPr>
                <w:lang w:val="fr-FR"/>
              </w:rPr>
            </w:pPr>
            <w:r>
              <w:rPr>
                <w:lang w:val="fr-FR"/>
              </w:rPr>
              <w:t>La falsification des prix du commerce</w:t>
            </w:r>
            <w:r w:rsidRPr="00A463C5">
              <w:rPr>
                <w:lang w:val="fr-FR"/>
              </w:rPr>
              <w:t xml:space="preserve"> se produi</w:t>
            </w:r>
            <w:r>
              <w:rPr>
                <w:lang w:val="fr-FR"/>
              </w:rPr>
              <w:t>t</w:t>
            </w:r>
            <w:r w:rsidRPr="00A463C5">
              <w:rPr>
                <w:lang w:val="fr-FR"/>
              </w:rPr>
              <w:t xml:space="preserve"> lorsque le prix unitaire d'une transaction donnée d</w:t>
            </w:r>
            <w:r>
              <w:rPr>
                <w:lang w:val="fr-FR"/>
              </w:rPr>
              <w:t>iff</w:t>
            </w:r>
            <w:r w:rsidRPr="00A463C5">
              <w:rPr>
                <w:lang w:val="fr-FR"/>
              </w:rPr>
              <w:t>ère des prix normaux (transaction sans lien de dépendance) supposés par un filtre de prix, c'est-à-dire lorsqu'un prix anormal d'une transaction particulière est identifié.</w:t>
            </w:r>
          </w:p>
        </w:tc>
      </w:tr>
      <w:tr w:rsidR="00B23307" w:rsidRPr="00A463C5" w14:paraId="2C9975AE" w14:textId="77777777" w:rsidTr="00606C69">
        <w:tc>
          <w:tcPr>
            <w:tcW w:w="9062" w:type="dxa"/>
            <w:gridSpan w:val="6"/>
            <w:shd w:val="clear" w:color="auto" w:fill="DEEAF6" w:themeFill="accent5" w:themeFillTint="33"/>
          </w:tcPr>
          <w:p w14:paraId="5003607D" w14:textId="77777777" w:rsidR="00B23307" w:rsidRPr="00A463C5" w:rsidRDefault="00B23307" w:rsidP="00606C69">
            <w:pPr>
              <w:spacing w:after="0"/>
              <w:rPr>
                <w:lang w:val="fr-FR"/>
              </w:rPr>
            </w:pPr>
            <w:r w:rsidRPr="00A463C5">
              <w:rPr>
                <w:noProof/>
                <w:lang w:val="fr-FR"/>
              </w:rPr>
              <w:drawing>
                <wp:inline distT="0" distB="0" distL="0" distR="0" wp14:anchorId="08DFA421" wp14:editId="06A84322">
                  <wp:extent cx="288000" cy="288000"/>
                  <wp:effectExtent l="0" t="0" r="0" b="0"/>
                  <wp:docPr id="204" name="Graphic 204"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4"/>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r w:rsidRPr="00A463C5">
              <w:rPr>
                <w:b/>
                <w:bCs/>
                <w:lang w:val="fr-FR"/>
              </w:rPr>
              <w:t>Hypothèses</w:t>
            </w:r>
          </w:p>
        </w:tc>
      </w:tr>
      <w:tr w:rsidR="00B23307" w:rsidRPr="004A729B" w14:paraId="5AB774F6" w14:textId="77777777" w:rsidTr="00606C69">
        <w:tc>
          <w:tcPr>
            <w:tcW w:w="9062" w:type="dxa"/>
            <w:gridSpan w:val="6"/>
          </w:tcPr>
          <w:p w14:paraId="16447133" w14:textId="77777777" w:rsidR="00B23307" w:rsidRPr="00A463C5" w:rsidRDefault="00B23307" w:rsidP="00606C69">
            <w:pPr>
              <w:spacing w:after="0"/>
              <w:rPr>
                <w:lang w:val="fr-FR"/>
              </w:rPr>
            </w:pPr>
            <w:r w:rsidRPr="00A463C5">
              <w:rPr>
                <w:lang w:val="fr-FR"/>
              </w:rPr>
              <w:t>1. Les prix en dehors du filtr</w:t>
            </w:r>
            <w:r>
              <w:rPr>
                <w:lang w:val="fr-FR"/>
              </w:rPr>
              <w:t>age</w:t>
            </w:r>
            <w:r w:rsidRPr="00A463C5">
              <w:rPr>
                <w:lang w:val="fr-FR"/>
              </w:rPr>
              <w:t xml:space="preserve"> de prix sont attribués à une erreur de tarification.</w:t>
            </w:r>
          </w:p>
        </w:tc>
      </w:tr>
      <w:tr w:rsidR="00B23307" w:rsidRPr="00A463C5" w14:paraId="6CFCB7CE" w14:textId="77777777" w:rsidTr="00606C69">
        <w:tc>
          <w:tcPr>
            <w:tcW w:w="4530" w:type="dxa"/>
            <w:gridSpan w:val="3"/>
            <w:shd w:val="clear" w:color="auto" w:fill="DEEAF6" w:themeFill="accent5" w:themeFillTint="33"/>
          </w:tcPr>
          <w:p w14:paraId="4B0EED7D" w14:textId="77777777" w:rsidR="00B23307" w:rsidRPr="00A463C5" w:rsidRDefault="00B23307" w:rsidP="00606C69">
            <w:pPr>
              <w:spacing w:after="0"/>
              <w:rPr>
                <w:lang w:val="fr-FR"/>
              </w:rPr>
            </w:pPr>
            <w:r w:rsidRPr="00A463C5">
              <w:rPr>
                <w:noProof/>
                <w:lang w:val="fr-FR"/>
              </w:rPr>
              <w:drawing>
                <wp:inline distT="0" distB="0" distL="0" distR="0" wp14:anchorId="00242B39" wp14:editId="069AE235">
                  <wp:extent cx="288000" cy="288000"/>
                  <wp:effectExtent l="0" t="0" r="0" b="0"/>
                  <wp:docPr id="205" name="Graphic 205"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5"/>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Points forts </w:t>
            </w:r>
          </w:p>
        </w:tc>
        <w:tc>
          <w:tcPr>
            <w:tcW w:w="4532" w:type="dxa"/>
            <w:gridSpan w:val="3"/>
            <w:shd w:val="clear" w:color="auto" w:fill="DEEAF6" w:themeFill="accent5" w:themeFillTint="33"/>
          </w:tcPr>
          <w:p w14:paraId="16B9B260" w14:textId="77777777" w:rsidR="00B23307" w:rsidRPr="00A463C5" w:rsidRDefault="00B23307" w:rsidP="00606C69">
            <w:pPr>
              <w:spacing w:after="0"/>
              <w:rPr>
                <w:lang w:val="fr-FR"/>
              </w:rPr>
            </w:pPr>
            <w:r w:rsidRPr="00A463C5">
              <w:rPr>
                <w:noProof/>
                <w:lang w:val="fr-FR"/>
              </w:rPr>
              <w:drawing>
                <wp:inline distT="0" distB="0" distL="0" distR="0" wp14:anchorId="7EE4BD14" wp14:editId="2836AED3">
                  <wp:extent cx="288000" cy="288000"/>
                  <wp:effectExtent l="0" t="0" r="0" b="0"/>
                  <wp:docPr id="207" name="Graphic 207"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7"/>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r w:rsidRPr="00A463C5">
              <w:rPr>
                <w:b/>
                <w:bCs/>
                <w:lang w:val="fr-FR"/>
              </w:rPr>
              <w:t>Limitations</w:t>
            </w:r>
          </w:p>
        </w:tc>
      </w:tr>
      <w:tr w:rsidR="00B23307" w:rsidRPr="004A729B" w14:paraId="794FEBD8" w14:textId="77777777" w:rsidTr="00606C69">
        <w:tc>
          <w:tcPr>
            <w:tcW w:w="4530" w:type="dxa"/>
            <w:gridSpan w:val="3"/>
          </w:tcPr>
          <w:p w14:paraId="36245D1C" w14:textId="77777777" w:rsidR="00B23307" w:rsidRPr="00A463C5" w:rsidRDefault="00B23307" w:rsidP="00606C69">
            <w:pPr>
              <w:spacing w:after="0"/>
              <w:rPr>
                <w:lang w:val="fr-FR"/>
              </w:rPr>
            </w:pPr>
            <w:r w:rsidRPr="00A463C5">
              <w:rPr>
                <w:lang w:val="fr-FR"/>
              </w:rPr>
              <w:t xml:space="preserve">1. </w:t>
            </w:r>
            <w:r>
              <w:rPr>
                <w:lang w:val="fr-FR"/>
              </w:rPr>
              <w:t>Microdonnées</w:t>
            </w:r>
            <w:r w:rsidRPr="00A463C5">
              <w:rPr>
                <w:lang w:val="fr-FR"/>
              </w:rPr>
              <w:t xml:space="preserve"> au niveau des transactions.</w:t>
            </w:r>
          </w:p>
          <w:p w14:paraId="2C14DE01" w14:textId="77777777" w:rsidR="00B23307" w:rsidRPr="00A463C5" w:rsidRDefault="00B23307" w:rsidP="00606C69">
            <w:pPr>
              <w:spacing w:after="0"/>
              <w:rPr>
                <w:lang w:val="fr-FR"/>
              </w:rPr>
            </w:pPr>
            <w:r w:rsidRPr="00A463C5">
              <w:rPr>
                <w:lang w:val="fr-FR"/>
              </w:rPr>
              <w:t>2. Ne s'appuie pas sur les données de transaction du partenaire.</w:t>
            </w:r>
          </w:p>
          <w:p w14:paraId="3795963E" w14:textId="77777777" w:rsidR="00B23307" w:rsidRPr="00A463C5" w:rsidRDefault="00B23307" w:rsidP="00606C69">
            <w:pPr>
              <w:spacing w:after="0"/>
              <w:rPr>
                <w:lang w:val="fr-FR"/>
              </w:rPr>
            </w:pPr>
            <w:r w:rsidRPr="00A463C5">
              <w:rPr>
                <w:lang w:val="fr-FR"/>
              </w:rPr>
              <w:t>3. Une littérature et des cas abondants.</w:t>
            </w:r>
          </w:p>
        </w:tc>
        <w:tc>
          <w:tcPr>
            <w:tcW w:w="4532" w:type="dxa"/>
            <w:gridSpan w:val="3"/>
          </w:tcPr>
          <w:p w14:paraId="00B1A61D" w14:textId="77777777" w:rsidR="00B23307" w:rsidRPr="00A463C5" w:rsidRDefault="00B23307" w:rsidP="00606C69">
            <w:pPr>
              <w:spacing w:after="0"/>
              <w:rPr>
                <w:lang w:val="fr-FR"/>
              </w:rPr>
            </w:pPr>
            <w:r w:rsidRPr="00A463C5">
              <w:rPr>
                <w:lang w:val="fr-FR"/>
              </w:rPr>
              <w:t>1. Les filtres statistiques de prix trouveront toujours des transactions avec des prix anormaux (endogénéité).</w:t>
            </w:r>
          </w:p>
          <w:p w14:paraId="3A3E54FE" w14:textId="77777777" w:rsidR="00B23307" w:rsidRPr="00A463C5" w:rsidRDefault="00B23307" w:rsidP="00606C69">
            <w:pPr>
              <w:spacing w:after="0"/>
              <w:rPr>
                <w:lang w:val="fr-FR"/>
              </w:rPr>
            </w:pPr>
            <w:r w:rsidRPr="00A463C5">
              <w:rPr>
                <w:lang w:val="fr-FR"/>
              </w:rPr>
              <w:t>2. Hétérogénéité des produits, même au niveau des transactions.</w:t>
            </w:r>
          </w:p>
          <w:p w14:paraId="044F5F6F" w14:textId="77777777" w:rsidR="00B23307" w:rsidRPr="00A463C5" w:rsidRDefault="00B23307" w:rsidP="00606C69">
            <w:pPr>
              <w:spacing w:after="0"/>
              <w:rPr>
                <w:lang w:val="fr-FR"/>
              </w:rPr>
            </w:pPr>
            <w:r w:rsidRPr="00A463C5">
              <w:rPr>
                <w:lang w:val="fr-FR"/>
              </w:rPr>
              <w:t xml:space="preserve">3. Incapacité à identifier les prix inhabituels légitimes, par exemple les prix </w:t>
            </w:r>
            <w:r>
              <w:rPr>
                <w:lang w:val="fr-FR"/>
              </w:rPr>
              <w:t>bas</w:t>
            </w:r>
            <w:r w:rsidRPr="00A463C5">
              <w:rPr>
                <w:lang w:val="fr-FR"/>
              </w:rPr>
              <w:t xml:space="preserve"> offerts par les contrats à long terme.</w:t>
            </w:r>
          </w:p>
          <w:p w14:paraId="740CC504" w14:textId="77777777" w:rsidR="00B23307" w:rsidRPr="00A463C5" w:rsidRDefault="00B23307" w:rsidP="00606C69">
            <w:pPr>
              <w:spacing w:after="0"/>
              <w:rPr>
                <w:lang w:val="fr-FR"/>
              </w:rPr>
            </w:pPr>
            <w:r w:rsidRPr="00A463C5">
              <w:rPr>
                <w:lang w:val="fr-FR"/>
              </w:rPr>
              <w:t xml:space="preserve">4. Se réfère uniquement à la mauvaise évaluation (en tant que sous-ensemble de la </w:t>
            </w:r>
            <w:r>
              <w:rPr>
                <w:lang w:val="fr-FR"/>
              </w:rPr>
              <w:t>fausse</w:t>
            </w:r>
            <w:r w:rsidRPr="00A463C5">
              <w:rPr>
                <w:lang w:val="fr-FR"/>
              </w:rPr>
              <w:t xml:space="preserve"> facturation). </w:t>
            </w:r>
          </w:p>
          <w:p w14:paraId="28EF244A" w14:textId="77777777" w:rsidR="00B23307" w:rsidRPr="00A463C5" w:rsidRDefault="00B23307" w:rsidP="00606C69">
            <w:pPr>
              <w:spacing w:after="0"/>
              <w:rPr>
                <w:lang w:val="fr-FR"/>
              </w:rPr>
            </w:pPr>
            <w:r w:rsidRPr="00A463C5">
              <w:rPr>
                <w:lang w:val="fr-FR"/>
              </w:rPr>
              <w:t>5. Faiblesse générale de l'enregistrement des informations sur les quantités.</w:t>
            </w:r>
          </w:p>
        </w:tc>
      </w:tr>
      <w:tr w:rsidR="00B23307" w:rsidRPr="00A463C5" w14:paraId="01F697A4" w14:textId="77777777" w:rsidTr="00606C69">
        <w:tc>
          <w:tcPr>
            <w:tcW w:w="4530" w:type="dxa"/>
            <w:gridSpan w:val="3"/>
            <w:shd w:val="clear" w:color="auto" w:fill="DEEAF6" w:themeFill="accent5" w:themeFillTint="33"/>
          </w:tcPr>
          <w:p w14:paraId="0A17A9D2" w14:textId="77777777" w:rsidR="00B23307" w:rsidRPr="00A463C5" w:rsidRDefault="00B23307" w:rsidP="00606C69">
            <w:pPr>
              <w:spacing w:after="0"/>
              <w:rPr>
                <w:lang w:val="fr-FR"/>
              </w:rPr>
            </w:pPr>
            <w:r w:rsidRPr="00A463C5">
              <w:rPr>
                <w:noProof/>
                <w:lang w:val="fr-FR"/>
              </w:rPr>
              <w:drawing>
                <wp:inline distT="0" distB="0" distL="0" distR="0" wp14:anchorId="54DDA067" wp14:editId="555F81C2">
                  <wp:extent cx="288000" cy="288000"/>
                  <wp:effectExtent l="0" t="0" r="0" b="0"/>
                  <wp:docPr id="208" name="Graphic 208"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8"/>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r w:rsidRPr="00A463C5">
              <w:rPr>
                <w:b/>
                <w:bCs/>
                <w:lang w:val="fr-FR"/>
              </w:rPr>
              <w:t>Sources de données</w:t>
            </w:r>
          </w:p>
        </w:tc>
        <w:tc>
          <w:tcPr>
            <w:tcW w:w="4532" w:type="dxa"/>
            <w:gridSpan w:val="3"/>
            <w:shd w:val="clear" w:color="auto" w:fill="DEEAF6" w:themeFill="accent5" w:themeFillTint="33"/>
          </w:tcPr>
          <w:p w14:paraId="48DA8394" w14:textId="77777777" w:rsidR="00B23307" w:rsidRPr="00A463C5" w:rsidRDefault="00B23307" w:rsidP="00606C69">
            <w:pPr>
              <w:spacing w:after="0"/>
              <w:rPr>
                <w:lang w:val="fr-FR"/>
              </w:rPr>
            </w:pPr>
            <w:r w:rsidRPr="00A463C5">
              <w:rPr>
                <w:noProof/>
                <w:lang w:val="fr-FR"/>
              </w:rPr>
              <w:drawing>
                <wp:inline distT="0" distB="0" distL="0" distR="0" wp14:anchorId="4C01D05C" wp14:editId="7CA32DF0">
                  <wp:extent cx="288000" cy="288000"/>
                  <wp:effectExtent l="0" t="0" r="0" b="0"/>
                  <wp:docPr id="209" name="Graphic 209"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9"/>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Atténuation des limitations </w:t>
            </w:r>
          </w:p>
        </w:tc>
      </w:tr>
      <w:tr w:rsidR="00B23307" w:rsidRPr="004A729B" w14:paraId="736E50EB" w14:textId="77777777" w:rsidTr="00606C69">
        <w:tc>
          <w:tcPr>
            <w:tcW w:w="4530" w:type="dxa"/>
            <w:gridSpan w:val="3"/>
          </w:tcPr>
          <w:p w14:paraId="6C241E01" w14:textId="77777777" w:rsidR="00B23307" w:rsidRPr="00A463C5" w:rsidRDefault="00B23307" w:rsidP="00606C69">
            <w:pPr>
              <w:spacing w:after="0"/>
              <w:rPr>
                <w:lang w:val="fr-FR"/>
              </w:rPr>
            </w:pPr>
            <w:r w:rsidRPr="00A463C5">
              <w:rPr>
                <w:lang w:val="fr-FR"/>
              </w:rPr>
              <w:t xml:space="preserve">1. Données au niveau des transactions provenant des autorités douanières. Il est important d'utiliser les données avant que les ajustements pour corriger les prix anormaux à des fins statistiques n'aient lieu. </w:t>
            </w:r>
          </w:p>
          <w:p w14:paraId="40A00BBE" w14:textId="77777777" w:rsidR="00B23307" w:rsidRPr="00A463C5" w:rsidRDefault="00B23307" w:rsidP="00606C69">
            <w:pPr>
              <w:spacing w:after="0"/>
              <w:rPr>
                <w:lang w:val="fr-FR"/>
              </w:rPr>
            </w:pPr>
            <w:r w:rsidRPr="00A463C5">
              <w:rPr>
                <w:lang w:val="fr-FR"/>
              </w:rPr>
              <w:t>2. Prix des produits de base sur le marché libre provenant de sources internationales (CNUCED, Banque mondiale).</w:t>
            </w:r>
          </w:p>
          <w:p w14:paraId="56EF60D9" w14:textId="77777777" w:rsidR="00B23307" w:rsidRPr="00A463C5" w:rsidRDefault="00B23307" w:rsidP="00606C69">
            <w:pPr>
              <w:spacing w:after="0"/>
              <w:rPr>
                <w:lang w:val="fr-FR"/>
              </w:rPr>
            </w:pPr>
            <w:r w:rsidRPr="00A463C5">
              <w:rPr>
                <w:lang w:val="fr-FR"/>
              </w:rPr>
              <w:t>3. Fourchettes de valeurs unitaires standard</w:t>
            </w:r>
            <w:r>
              <w:rPr>
                <w:lang w:val="fr-FR"/>
              </w:rPr>
              <w:t>s</w:t>
            </w:r>
            <w:r w:rsidRPr="00A463C5">
              <w:rPr>
                <w:lang w:val="fr-FR"/>
              </w:rPr>
              <w:t xml:space="preserve"> par sous-positions du </w:t>
            </w:r>
            <w:r>
              <w:rPr>
                <w:lang w:val="fr-FR"/>
              </w:rPr>
              <w:t>SH</w:t>
            </w:r>
            <w:r w:rsidRPr="00A463C5">
              <w:rPr>
                <w:lang w:val="fr-FR"/>
              </w:rPr>
              <w:t xml:space="preserve"> (United Nations Comtrade).</w:t>
            </w:r>
          </w:p>
        </w:tc>
        <w:tc>
          <w:tcPr>
            <w:tcW w:w="4532" w:type="dxa"/>
            <w:gridSpan w:val="3"/>
          </w:tcPr>
          <w:p w14:paraId="38634318" w14:textId="77777777" w:rsidR="00B23307" w:rsidRPr="00A463C5" w:rsidRDefault="00B23307" w:rsidP="00606C69">
            <w:pPr>
              <w:spacing w:after="0"/>
              <w:rPr>
                <w:lang w:val="fr-FR"/>
              </w:rPr>
            </w:pPr>
            <w:r w:rsidRPr="00A463C5">
              <w:rPr>
                <w:lang w:val="fr-FR"/>
              </w:rPr>
              <w:t>1. Défini</w:t>
            </w:r>
            <w:r>
              <w:rPr>
                <w:lang w:val="fr-FR"/>
              </w:rPr>
              <w:t>r</w:t>
            </w:r>
            <w:r w:rsidRPr="00A463C5">
              <w:rPr>
                <w:lang w:val="fr-FR"/>
              </w:rPr>
              <w:t xml:space="preserve"> des filtres de prix spécifiques pour les </w:t>
            </w:r>
            <w:r>
              <w:rPr>
                <w:lang w:val="fr-FR"/>
              </w:rPr>
              <w:t>variables</w:t>
            </w:r>
            <w:r w:rsidRPr="00A463C5">
              <w:rPr>
                <w:lang w:val="fr-FR"/>
              </w:rPr>
              <w:t xml:space="preserve"> du commerce, tels que l</w:t>
            </w:r>
            <w:r>
              <w:rPr>
                <w:lang w:val="fr-FR"/>
              </w:rPr>
              <w:t>e produit</w:t>
            </w:r>
            <w:r w:rsidRPr="00A463C5">
              <w:rPr>
                <w:lang w:val="fr-FR"/>
              </w:rPr>
              <w:t xml:space="preserve">, le partenaire, les périodes, le mode de transport. </w:t>
            </w:r>
          </w:p>
          <w:p w14:paraId="5311B686" w14:textId="77777777" w:rsidR="00B23307" w:rsidRPr="00A463C5" w:rsidRDefault="00B23307" w:rsidP="00606C69">
            <w:pPr>
              <w:spacing w:after="0"/>
              <w:rPr>
                <w:lang w:val="fr-FR"/>
              </w:rPr>
            </w:pPr>
            <w:r w:rsidRPr="00A463C5">
              <w:rPr>
                <w:lang w:val="fr-FR"/>
              </w:rPr>
              <w:t>2. Utilise</w:t>
            </w:r>
            <w:r>
              <w:rPr>
                <w:lang w:val="fr-FR"/>
              </w:rPr>
              <w:t>r</w:t>
            </w:r>
            <w:r w:rsidRPr="00A463C5">
              <w:rPr>
                <w:lang w:val="fr-FR"/>
              </w:rPr>
              <w:t xml:space="preserve"> les prix du marché libre pour le filtre de prix.</w:t>
            </w:r>
          </w:p>
          <w:p w14:paraId="69942578" w14:textId="77777777" w:rsidR="00B23307" w:rsidRPr="00A463C5" w:rsidRDefault="00B23307" w:rsidP="00606C69">
            <w:pPr>
              <w:spacing w:after="0"/>
              <w:rPr>
                <w:lang w:val="fr-FR"/>
              </w:rPr>
            </w:pPr>
            <w:r w:rsidRPr="00A463C5">
              <w:rPr>
                <w:lang w:val="fr-FR"/>
              </w:rPr>
              <w:t xml:space="preserve">3. Impliquer et consulter des experts, y compris de la douane, sur les valeurs aberrantes détectées (qu'il y ait ou non une explication). </w:t>
            </w:r>
          </w:p>
        </w:tc>
      </w:tr>
      <w:tr w:rsidR="00B23307" w:rsidRPr="00A463C5" w14:paraId="67BCB5DE" w14:textId="77777777" w:rsidTr="00606C69">
        <w:tc>
          <w:tcPr>
            <w:tcW w:w="9062" w:type="dxa"/>
            <w:gridSpan w:val="6"/>
            <w:shd w:val="clear" w:color="auto" w:fill="DEEAF6" w:themeFill="accent5" w:themeFillTint="33"/>
          </w:tcPr>
          <w:p w14:paraId="6A234FE3" w14:textId="77777777" w:rsidR="00B23307" w:rsidRPr="00A463C5" w:rsidRDefault="00B23307" w:rsidP="00606C69">
            <w:pPr>
              <w:spacing w:after="0"/>
              <w:rPr>
                <w:lang w:val="fr-FR"/>
              </w:rPr>
            </w:pPr>
            <w:r w:rsidRPr="00A463C5">
              <w:rPr>
                <w:noProof/>
                <w:lang w:val="fr-FR"/>
              </w:rPr>
              <w:lastRenderedPageBreak/>
              <w:drawing>
                <wp:inline distT="0" distB="0" distL="0" distR="0" wp14:anchorId="1B264C32" wp14:editId="2745E552">
                  <wp:extent cx="288000" cy="288000"/>
                  <wp:effectExtent l="0" t="0" r="0" b="0"/>
                  <wp:docPr id="23" name="Graphic 23"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3"/>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Calcul </w:t>
            </w:r>
          </w:p>
        </w:tc>
      </w:tr>
      <w:tr w:rsidR="00B23307" w:rsidRPr="004A729B" w14:paraId="48268D18" w14:textId="77777777" w:rsidTr="00606C69">
        <w:tc>
          <w:tcPr>
            <w:tcW w:w="9062" w:type="dxa"/>
            <w:gridSpan w:val="6"/>
          </w:tcPr>
          <w:p w14:paraId="4D99EFE5" w14:textId="77777777" w:rsidR="00B23307" w:rsidRPr="00A463C5" w:rsidRDefault="00B23307" w:rsidP="00606C69">
            <w:pPr>
              <w:spacing w:after="0"/>
              <w:rPr>
                <w:lang w:val="fr-FR"/>
              </w:rPr>
            </w:pPr>
            <w:r w:rsidRPr="00A463C5">
              <w:rPr>
                <w:lang w:val="fr-FR"/>
              </w:rPr>
              <w:t>1. Analyse exploratoire des données et préparation des données (suppression des valeurs aberrantes).</w:t>
            </w:r>
          </w:p>
          <w:p w14:paraId="259513C3" w14:textId="77777777" w:rsidR="00B23307" w:rsidRPr="00A463C5" w:rsidRDefault="00B23307" w:rsidP="00606C69">
            <w:pPr>
              <w:spacing w:after="0"/>
              <w:rPr>
                <w:lang w:val="fr-FR"/>
              </w:rPr>
            </w:pPr>
            <w:r w:rsidRPr="00A463C5">
              <w:rPr>
                <w:lang w:val="fr-FR"/>
              </w:rPr>
              <w:t>2. Inclu</w:t>
            </w:r>
            <w:r>
              <w:rPr>
                <w:lang w:val="fr-FR"/>
              </w:rPr>
              <w:t>re</w:t>
            </w:r>
            <w:r w:rsidRPr="00A463C5">
              <w:rPr>
                <w:lang w:val="fr-FR"/>
              </w:rPr>
              <w:t xml:space="preserve"> des experts. </w:t>
            </w:r>
          </w:p>
          <w:p w14:paraId="6323E512" w14:textId="77777777" w:rsidR="00B23307" w:rsidRPr="00A463C5" w:rsidRDefault="00B23307" w:rsidP="00606C69">
            <w:pPr>
              <w:spacing w:after="0"/>
              <w:rPr>
                <w:lang w:val="fr-FR"/>
              </w:rPr>
            </w:pPr>
            <w:r w:rsidRPr="00A463C5">
              <w:rPr>
                <w:lang w:val="fr-FR"/>
              </w:rPr>
              <w:t>3. Défini</w:t>
            </w:r>
            <w:r>
              <w:rPr>
                <w:lang w:val="fr-FR"/>
              </w:rPr>
              <w:t xml:space="preserve">r </w:t>
            </w:r>
            <w:r w:rsidRPr="00A463C5">
              <w:rPr>
                <w:lang w:val="fr-FR"/>
              </w:rPr>
              <w:t>le(s) filtre(s) de prix.</w:t>
            </w:r>
          </w:p>
          <w:p w14:paraId="7317DD72" w14:textId="77777777" w:rsidR="00B23307" w:rsidRPr="00A463C5" w:rsidRDefault="00B23307" w:rsidP="00606C69">
            <w:pPr>
              <w:spacing w:after="0"/>
              <w:rPr>
                <w:lang w:val="fr-FR"/>
              </w:rPr>
            </w:pPr>
            <w:r w:rsidRPr="00A463C5">
              <w:rPr>
                <w:lang w:val="fr-FR"/>
              </w:rPr>
              <w:t>4. Calcule</w:t>
            </w:r>
            <w:r>
              <w:rPr>
                <w:lang w:val="fr-FR"/>
              </w:rPr>
              <w:t>r</w:t>
            </w:r>
            <w:r w:rsidRPr="00A463C5">
              <w:rPr>
                <w:lang w:val="fr-FR"/>
              </w:rPr>
              <w:t xml:space="preserve"> le montant de la surévaluation et de la sous-évaluation</w:t>
            </w:r>
            <w:r>
              <w:rPr>
                <w:lang w:val="fr-FR"/>
              </w:rPr>
              <w:t xml:space="preserve"> des prix.</w:t>
            </w:r>
          </w:p>
          <w:p w14:paraId="75974C8E" w14:textId="77777777" w:rsidR="00B23307" w:rsidRPr="00A463C5" w:rsidRDefault="00B23307" w:rsidP="00606C69">
            <w:pPr>
              <w:spacing w:after="0"/>
              <w:rPr>
                <w:lang w:val="fr-FR"/>
              </w:rPr>
            </w:pPr>
            <w:r w:rsidRPr="00A463C5">
              <w:rPr>
                <w:lang w:val="fr-FR"/>
              </w:rPr>
              <w:t xml:space="preserve">5. Agréger pour obtenir les entrées, les sorties et le total des </w:t>
            </w:r>
            <w:r>
              <w:rPr>
                <w:lang w:val="fr-FR"/>
              </w:rPr>
              <w:t>FFI</w:t>
            </w:r>
            <w:r w:rsidRPr="00A463C5">
              <w:rPr>
                <w:lang w:val="fr-FR"/>
              </w:rPr>
              <w:t>.</w:t>
            </w:r>
          </w:p>
          <w:p w14:paraId="4860E463" w14:textId="77777777" w:rsidR="00B23307" w:rsidRPr="00A463C5" w:rsidRDefault="00B23307" w:rsidP="00606C69">
            <w:pPr>
              <w:spacing w:after="0"/>
              <w:rPr>
                <w:lang w:val="fr-FR"/>
              </w:rPr>
            </w:pPr>
          </w:p>
        </w:tc>
      </w:tr>
      <w:tr w:rsidR="00B23307" w:rsidRPr="00A463C5" w14:paraId="322E6A0F" w14:textId="77777777" w:rsidTr="00606C69">
        <w:tc>
          <w:tcPr>
            <w:tcW w:w="9062" w:type="dxa"/>
            <w:gridSpan w:val="6"/>
            <w:shd w:val="clear" w:color="auto" w:fill="DEEAF6" w:themeFill="accent5" w:themeFillTint="33"/>
          </w:tcPr>
          <w:p w14:paraId="09FFB77A" w14:textId="77777777" w:rsidR="00B23307" w:rsidRPr="00A463C5" w:rsidRDefault="00B23307" w:rsidP="00606C69">
            <w:pPr>
              <w:spacing w:after="0"/>
              <w:rPr>
                <w:lang w:val="fr-FR"/>
              </w:rPr>
            </w:pPr>
            <w:r w:rsidRPr="00A463C5">
              <w:rPr>
                <w:noProof/>
                <w:lang w:val="fr-FR"/>
              </w:rPr>
              <w:drawing>
                <wp:inline distT="0" distB="0" distL="0" distR="0" wp14:anchorId="3F7B3562" wp14:editId="74BBCC16">
                  <wp:extent cx="288000" cy="288000"/>
                  <wp:effectExtent l="0" t="0" r="0" b="0"/>
                  <wp:docPr id="24" name="Graphic 24"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4"/>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8000" cy="288000"/>
                          </a:xfrm>
                          <a:prstGeom prst="rect">
                            <a:avLst/>
                          </a:prstGeom>
                        </pic:spPr>
                      </pic:pic>
                    </a:graphicData>
                  </a:graphic>
                </wp:inline>
              </w:drawing>
            </w:r>
            <w:r w:rsidRPr="00A463C5">
              <w:rPr>
                <w:b/>
                <w:bCs/>
                <w:lang w:val="fr-FR"/>
              </w:rPr>
              <w:t>Résultats</w:t>
            </w:r>
          </w:p>
        </w:tc>
      </w:tr>
      <w:tr w:rsidR="00B23307" w:rsidRPr="004A729B" w14:paraId="6D761DA1" w14:textId="77777777" w:rsidTr="00606C69">
        <w:tc>
          <w:tcPr>
            <w:tcW w:w="9062" w:type="dxa"/>
            <w:gridSpan w:val="6"/>
          </w:tcPr>
          <w:p w14:paraId="39A797C4" w14:textId="77777777" w:rsidR="00B23307" w:rsidRPr="00A463C5" w:rsidRDefault="00B23307" w:rsidP="00606C69">
            <w:pPr>
              <w:spacing w:after="0"/>
              <w:rPr>
                <w:lang w:val="fr-FR"/>
              </w:rPr>
            </w:pPr>
            <w:r w:rsidRPr="00F33FEE">
              <w:rPr>
                <w:lang w:val="fr-FR"/>
              </w:rPr>
              <w:t>Les résultats sont présentés annuellement pour l'ensemble de l’économie : FFI entrants et sortants.</w:t>
            </w:r>
          </w:p>
        </w:tc>
      </w:tr>
      <w:tr w:rsidR="00B23307" w:rsidRPr="00A463C5" w14:paraId="42C05AAA" w14:textId="77777777" w:rsidTr="00606C69">
        <w:tc>
          <w:tcPr>
            <w:tcW w:w="9062" w:type="dxa"/>
            <w:gridSpan w:val="6"/>
            <w:shd w:val="clear" w:color="auto" w:fill="DEEAF6" w:themeFill="accent5" w:themeFillTint="33"/>
          </w:tcPr>
          <w:p w14:paraId="675BAB1D" w14:textId="77777777" w:rsidR="00B23307" w:rsidRPr="00A463C5" w:rsidRDefault="00B23307" w:rsidP="00606C69">
            <w:pPr>
              <w:spacing w:after="0"/>
              <w:rPr>
                <w:lang w:val="fr-FR"/>
              </w:rPr>
            </w:pPr>
            <w:r w:rsidRPr="00A463C5">
              <w:rPr>
                <w:noProof/>
                <w:lang w:val="fr-FR"/>
              </w:rPr>
              <w:drawing>
                <wp:inline distT="0" distB="0" distL="0" distR="0" wp14:anchorId="63915FE0" wp14:editId="5B180631">
                  <wp:extent cx="288000" cy="288000"/>
                  <wp:effectExtent l="0" t="0" r="0" b="0"/>
                  <wp:docPr id="211" name="Graphic 211"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Note(s) spéciale(s) </w:t>
            </w:r>
          </w:p>
        </w:tc>
      </w:tr>
      <w:tr w:rsidR="00B23307" w:rsidRPr="004A729B" w14:paraId="0E98AB9F" w14:textId="77777777" w:rsidTr="00606C69">
        <w:tc>
          <w:tcPr>
            <w:tcW w:w="9062" w:type="dxa"/>
            <w:gridSpan w:val="6"/>
          </w:tcPr>
          <w:p w14:paraId="68631182" w14:textId="77777777" w:rsidR="00B23307" w:rsidRPr="00A463C5" w:rsidRDefault="00B23307" w:rsidP="00606C69">
            <w:pPr>
              <w:spacing w:after="0"/>
              <w:rPr>
                <w:lang w:val="fr-FR"/>
              </w:rPr>
            </w:pPr>
            <w:r w:rsidRPr="00A463C5">
              <w:rPr>
                <w:lang w:val="fr-FR"/>
              </w:rPr>
              <w:t>Collaboration étroite avec les unités statistiques des autorités douanières.</w:t>
            </w:r>
          </w:p>
          <w:p w14:paraId="3BA39BB1" w14:textId="77777777" w:rsidR="00B23307" w:rsidRPr="00A463C5" w:rsidRDefault="00B23307" w:rsidP="00606C69">
            <w:pPr>
              <w:spacing w:after="0"/>
              <w:rPr>
                <w:lang w:val="fr-FR"/>
              </w:rPr>
            </w:pPr>
            <w:r w:rsidRPr="00A463C5">
              <w:rPr>
                <w:lang w:val="fr-FR"/>
              </w:rPr>
              <w:t xml:space="preserve">En cas de forte dépendance à l'égard des opérations triangulaires </w:t>
            </w:r>
            <w:r>
              <w:rPr>
                <w:lang w:val="fr-FR"/>
              </w:rPr>
              <w:t>via des</w:t>
            </w:r>
            <w:r w:rsidRPr="00A463C5">
              <w:rPr>
                <w:lang w:val="fr-FR"/>
              </w:rPr>
              <w:t xml:space="preserve"> entités intermédiaires </w:t>
            </w:r>
            <w:r>
              <w:rPr>
                <w:lang w:val="fr-FR"/>
              </w:rPr>
              <w:t>extraterritoriales</w:t>
            </w:r>
            <w:r w:rsidRPr="00A463C5">
              <w:rPr>
                <w:lang w:val="fr-FR"/>
              </w:rPr>
              <w:t xml:space="preserve"> situées dans des juridictions à faible fiscalité, le filtre de prix ne doit pas être estimé statistiquement (</w:t>
            </w:r>
            <w:r>
              <w:rPr>
                <w:lang w:val="fr-FR"/>
              </w:rPr>
              <w:t>faussé à la baisse</w:t>
            </w:r>
            <w:r w:rsidRPr="00A463C5">
              <w:rPr>
                <w:lang w:val="fr-FR"/>
              </w:rPr>
              <w:t>).</w:t>
            </w:r>
          </w:p>
        </w:tc>
      </w:tr>
      <w:tr w:rsidR="00B23307" w:rsidRPr="00A463C5" w14:paraId="25F23348" w14:textId="77777777" w:rsidTr="00606C69">
        <w:tc>
          <w:tcPr>
            <w:tcW w:w="9062" w:type="dxa"/>
            <w:gridSpan w:val="6"/>
            <w:shd w:val="clear" w:color="auto" w:fill="DEEAF6" w:themeFill="accent5" w:themeFillTint="33"/>
          </w:tcPr>
          <w:p w14:paraId="11FCAFD5" w14:textId="77777777" w:rsidR="00B23307" w:rsidRPr="00A463C5" w:rsidRDefault="00B23307" w:rsidP="00606C69">
            <w:pPr>
              <w:spacing w:after="0"/>
              <w:rPr>
                <w:lang w:val="fr-FR"/>
              </w:rPr>
            </w:pPr>
            <w:r w:rsidRPr="00A463C5">
              <w:rPr>
                <w:noProof/>
                <w:lang w:val="fr-FR"/>
              </w:rPr>
              <w:drawing>
                <wp:inline distT="0" distB="0" distL="0" distR="0" wp14:anchorId="43B25C45" wp14:editId="2C8A8E12">
                  <wp:extent cx="288000" cy="288000"/>
                  <wp:effectExtent l="0" t="0" r="0" b="0"/>
                  <wp:docPr id="213" name="Graphic 21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3"/>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8000" cy="288000"/>
                          </a:xfrm>
                          <a:prstGeom prst="rect">
                            <a:avLst/>
                          </a:prstGeom>
                        </pic:spPr>
                      </pic:pic>
                    </a:graphicData>
                  </a:graphic>
                </wp:inline>
              </w:drawing>
            </w:r>
            <w:r w:rsidRPr="00A463C5">
              <w:rPr>
                <w:b/>
                <w:bCs/>
                <w:lang w:val="fr-FR"/>
              </w:rPr>
              <w:t>Études de cas</w:t>
            </w:r>
          </w:p>
        </w:tc>
      </w:tr>
      <w:tr w:rsidR="00B23307" w:rsidRPr="004A729B" w14:paraId="364D1991" w14:textId="77777777" w:rsidTr="00606C69">
        <w:tc>
          <w:tcPr>
            <w:tcW w:w="9062" w:type="dxa"/>
            <w:gridSpan w:val="6"/>
          </w:tcPr>
          <w:p w14:paraId="57A60DC6" w14:textId="77777777" w:rsidR="00B23307" w:rsidRPr="00A906CF" w:rsidRDefault="00B23307" w:rsidP="00606C69">
            <w:pPr>
              <w:spacing w:after="0"/>
              <w:rPr>
                <w:lang w:val="fr-FR"/>
              </w:rPr>
            </w:pPr>
            <w:r w:rsidRPr="00A906CF">
              <w:rPr>
                <w:lang w:val="fr-FR"/>
              </w:rPr>
              <w:t xml:space="preserve">1. Le traitement de base des données du SARS en trois </w:t>
            </w:r>
            <w:r>
              <w:rPr>
                <w:lang w:val="fr-FR"/>
              </w:rPr>
              <w:t>étapes</w:t>
            </w:r>
            <w:r w:rsidRPr="00A906CF">
              <w:rPr>
                <w:lang w:val="fr-FR"/>
              </w:rPr>
              <w:t xml:space="preserve"> (WCO, 2018).</w:t>
            </w:r>
          </w:p>
          <w:p w14:paraId="186B3CC0" w14:textId="77777777" w:rsidR="00B23307" w:rsidRPr="00A906CF" w:rsidRDefault="00B23307" w:rsidP="00606C69">
            <w:pPr>
              <w:spacing w:after="0"/>
              <w:rPr>
                <w:lang w:val="fr-FR"/>
              </w:rPr>
            </w:pPr>
            <w:r w:rsidRPr="00A906CF">
              <w:rPr>
                <w:lang w:val="fr-FR"/>
              </w:rPr>
              <w:t>2. Identification d'experts nationaux pour soutenir l'application de la PFM (Ahene-Codjoe et al., 2020).</w:t>
            </w:r>
          </w:p>
          <w:p w14:paraId="650640BA" w14:textId="77777777" w:rsidR="00B23307" w:rsidRPr="00A906CF" w:rsidRDefault="00B23307" w:rsidP="00606C69">
            <w:pPr>
              <w:spacing w:after="0"/>
              <w:rPr>
                <w:lang w:val="fr-FR"/>
              </w:rPr>
            </w:pPr>
            <w:r w:rsidRPr="00A906CF">
              <w:rPr>
                <w:lang w:val="fr-FR"/>
              </w:rPr>
              <w:t>3. Calcul des prix étalons de l'or (Carbonnier and Mehrotra, 2020).</w:t>
            </w:r>
          </w:p>
          <w:p w14:paraId="3BEE1B81" w14:textId="77777777" w:rsidR="00B23307" w:rsidRPr="00A906CF" w:rsidRDefault="00B23307" w:rsidP="00606C69">
            <w:pPr>
              <w:spacing w:after="0"/>
              <w:rPr>
                <w:lang w:val="fr-FR"/>
              </w:rPr>
            </w:pPr>
            <w:r w:rsidRPr="00A906CF">
              <w:rPr>
                <w:lang w:val="fr-FR"/>
              </w:rPr>
              <w:t>4. PFM pour les exportations de fèves de soja au Brésil (Amaral and Barcarolo, 2020).</w:t>
            </w:r>
          </w:p>
          <w:p w14:paraId="38A1E7F9" w14:textId="77777777" w:rsidR="00B23307" w:rsidRPr="00A463C5" w:rsidRDefault="00B23307" w:rsidP="00606C69">
            <w:pPr>
              <w:spacing w:after="0"/>
              <w:rPr>
                <w:lang w:val="fr-FR"/>
              </w:rPr>
            </w:pPr>
            <w:r w:rsidRPr="00A906CF">
              <w:rPr>
                <w:lang w:val="fr-FR"/>
              </w:rPr>
              <w:t>5. La fausse facturation commerciale des produits à base de cuivre : une étude de cas du Chili et du Pérou (Hanni and Podestá, 2019).</w:t>
            </w:r>
          </w:p>
        </w:tc>
      </w:tr>
    </w:tbl>
    <w:p w14:paraId="46DAAEE9" w14:textId="77777777" w:rsidR="00B23307" w:rsidRPr="00A463C5" w:rsidRDefault="00B23307" w:rsidP="00B23307">
      <w:pPr>
        <w:rPr>
          <w:lang w:val="fr-FR"/>
        </w:rPr>
      </w:pPr>
    </w:p>
    <w:p w14:paraId="4E74F550" w14:textId="77777777" w:rsidR="00B23307" w:rsidRPr="00A463C5" w:rsidRDefault="00B23307" w:rsidP="00B23307">
      <w:pPr>
        <w:rPr>
          <w:lang w:val="fr-FR"/>
        </w:rPr>
      </w:pPr>
    </w:p>
    <w:p w14:paraId="77F3E1A4" w14:textId="77777777" w:rsidR="00B23307" w:rsidRPr="00A463C5" w:rsidRDefault="00B23307" w:rsidP="00B23307">
      <w:pPr>
        <w:rPr>
          <w:lang w:val="fr-FR"/>
        </w:rPr>
      </w:pPr>
      <w:r w:rsidRPr="00A463C5">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845"/>
      </w:tblGrid>
      <w:tr w:rsidR="00B23307" w:rsidRPr="004A729B" w14:paraId="269873B3" w14:textId="77777777" w:rsidTr="00606C69">
        <w:tc>
          <w:tcPr>
            <w:tcW w:w="2265" w:type="dxa"/>
            <w:tcBorders>
              <w:right w:val="nil"/>
            </w:tcBorders>
            <w:shd w:val="clear" w:color="auto" w:fill="DEEAF6" w:themeFill="accent5" w:themeFillTint="33"/>
          </w:tcPr>
          <w:p w14:paraId="622439C7" w14:textId="77777777" w:rsidR="00B23307" w:rsidRPr="00A463C5" w:rsidRDefault="00B23307" w:rsidP="00606C69">
            <w:pPr>
              <w:spacing w:after="0"/>
              <w:rPr>
                <w:lang w:val="fr-FR"/>
              </w:rPr>
            </w:pPr>
            <w:r w:rsidRPr="00A463C5">
              <w:rPr>
                <w:b/>
                <w:bCs/>
                <w:lang w:val="fr-FR"/>
              </w:rPr>
              <w:lastRenderedPageBreak/>
              <w:t>Fiche d'information sur la méthode</w:t>
            </w:r>
          </w:p>
        </w:tc>
        <w:tc>
          <w:tcPr>
            <w:tcW w:w="6797" w:type="dxa"/>
            <w:gridSpan w:val="5"/>
            <w:tcBorders>
              <w:left w:val="nil"/>
            </w:tcBorders>
            <w:shd w:val="clear" w:color="auto" w:fill="DEEAF6" w:themeFill="accent5" w:themeFillTint="33"/>
          </w:tcPr>
          <w:p w14:paraId="22C96209" w14:textId="77777777" w:rsidR="00B23307" w:rsidRPr="00A463C5" w:rsidRDefault="00B23307" w:rsidP="00606C69">
            <w:pPr>
              <w:spacing w:after="0"/>
              <w:jc w:val="right"/>
              <w:rPr>
                <w:b/>
                <w:bCs/>
                <w:lang w:val="fr-FR"/>
              </w:rPr>
            </w:pPr>
            <w:r>
              <w:rPr>
                <w:b/>
                <w:bCs/>
                <w:lang w:val="fr-FR"/>
              </w:rPr>
              <w:t xml:space="preserve">      </w:t>
            </w:r>
            <w:r w:rsidRPr="00A463C5">
              <w:rPr>
                <w:b/>
                <w:bCs/>
                <w:lang w:val="fr-FR"/>
              </w:rPr>
              <w:t xml:space="preserve">DIRECTIVES MÉTHODOLOGIQUES POUR MESURER </w:t>
            </w:r>
          </w:p>
          <w:p w14:paraId="22C2A579" w14:textId="77777777" w:rsidR="00B23307" w:rsidRPr="00A463C5" w:rsidRDefault="00B23307" w:rsidP="00606C69">
            <w:pPr>
              <w:spacing w:after="0"/>
              <w:jc w:val="right"/>
              <w:rPr>
                <w:b/>
                <w:bCs/>
                <w:lang w:val="fr-FR"/>
              </w:rPr>
            </w:pPr>
            <w:r w:rsidRPr="00A463C5">
              <w:rPr>
                <w:b/>
                <w:bCs/>
                <w:lang w:val="fr-FR"/>
              </w:rPr>
              <w:t xml:space="preserve">LES FLUX FINANCIERS ILLICITES FISCAUX ET COMMERCIAUX </w:t>
            </w:r>
          </w:p>
          <w:p w14:paraId="2052E142" w14:textId="760B3E26" w:rsidR="00B23307" w:rsidRPr="00A463C5" w:rsidRDefault="00B23307" w:rsidP="00606C69">
            <w:pPr>
              <w:spacing w:after="0"/>
              <w:jc w:val="right"/>
              <w:rPr>
                <w:b/>
                <w:bCs/>
                <w:sz w:val="20"/>
                <w:szCs w:val="20"/>
                <w:lang w:val="fr-FR"/>
              </w:rPr>
            </w:pPr>
            <w:r w:rsidRPr="00A463C5">
              <w:rPr>
                <w:b/>
                <w:bCs/>
                <w:sz w:val="20"/>
                <w:szCs w:val="20"/>
                <w:lang w:val="fr-FR"/>
              </w:rPr>
              <w:t xml:space="preserve">Méthodes pour les </w:t>
            </w:r>
            <w:r w:rsidR="00E302C1">
              <w:rPr>
                <w:b/>
                <w:bCs/>
                <w:sz w:val="20"/>
                <w:szCs w:val="20"/>
                <w:lang w:val="fr-FR"/>
              </w:rPr>
              <w:t>tests</w:t>
            </w:r>
            <w:r w:rsidRPr="00A463C5">
              <w:rPr>
                <w:b/>
                <w:bCs/>
                <w:sz w:val="20"/>
                <w:szCs w:val="20"/>
                <w:lang w:val="fr-FR"/>
              </w:rPr>
              <w:t xml:space="preserve"> pilotes</w:t>
            </w:r>
          </w:p>
        </w:tc>
      </w:tr>
      <w:tr w:rsidR="00B23307" w:rsidRPr="004A729B" w14:paraId="040C266C" w14:textId="77777777" w:rsidTr="00606C69">
        <w:tc>
          <w:tcPr>
            <w:tcW w:w="2405" w:type="dxa"/>
            <w:gridSpan w:val="2"/>
            <w:shd w:val="clear" w:color="auto" w:fill="DEEAF6" w:themeFill="accent5" w:themeFillTint="33"/>
          </w:tcPr>
          <w:p w14:paraId="419B61E2" w14:textId="77777777" w:rsidR="00B23307" w:rsidRPr="00A463C5" w:rsidRDefault="00B23307" w:rsidP="00606C69">
            <w:pPr>
              <w:spacing w:after="0"/>
              <w:rPr>
                <w:b/>
                <w:bCs/>
                <w:lang w:val="fr-FR"/>
              </w:rPr>
            </w:pPr>
            <w:r w:rsidRPr="00A463C5">
              <w:rPr>
                <w:b/>
                <w:bCs/>
                <w:lang w:val="fr-FR"/>
              </w:rPr>
              <w:t>Titre de la méthode</w:t>
            </w:r>
          </w:p>
        </w:tc>
        <w:tc>
          <w:tcPr>
            <w:tcW w:w="6657" w:type="dxa"/>
            <w:gridSpan w:val="4"/>
          </w:tcPr>
          <w:p w14:paraId="0106FC5D" w14:textId="77777777" w:rsidR="00B23307" w:rsidRPr="00A463C5" w:rsidRDefault="00B23307" w:rsidP="00606C69">
            <w:pPr>
              <w:spacing w:after="0"/>
              <w:rPr>
                <w:lang w:val="fr-FR"/>
              </w:rPr>
            </w:pPr>
            <w:r w:rsidRPr="00A463C5">
              <w:rPr>
                <w:lang w:val="fr-FR"/>
              </w:rPr>
              <w:t xml:space="preserve">#3 Répartition mondiale des bénéfices des </w:t>
            </w:r>
            <w:r>
              <w:rPr>
                <w:lang w:val="fr-FR"/>
              </w:rPr>
              <w:t>EMN</w:t>
            </w:r>
            <w:r w:rsidRPr="00A463C5">
              <w:rPr>
                <w:lang w:val="fr-FR"/>
              </w:rPr>
              <w:t xml:space="preserve"> et des impôts sur les sociétés</w:t>
            </w:r>
          </w:p>
        </w:tc>
      </w:tr>
      <w:tr w:rsidR="00B23307" w:rsidRPr="00A463C5" w14:paraId="041B962B" w14:textId="77777777" w:rsidTr="00606C69">
        <w:tc>
          <w:tcPr>
            <w:tcW w:w="2405" w:type="dxa"/>
            <w:gridSpan w:val="2"/>
            <w:shd w:val="clear" w:color="auto" w:fill="DEEAF6" w:themeFill="accent5" w:themeFillTint="33"/>
          </w:tcPr>
          <w:p w14:paraId="612ABE46" w14:textId="77777777" w:rsidR="00B23307" w:rsidRPr="00A463C5" w:rsidRDefault="00B23307" w:rsidP="00606C69">
            <w:pPr>
              <w:spacing w:after="0"/>
              <w:rPr>
                <w:b/>
                <w:bCs/>
                <w:lang w:val="fr-FR"/>
              </w:rPr>
            </w:pPr>
            <w:r w:rsidRPr="00A463C5">
              <w:rPr>
                <w:b/>
                <w:bCs/>
                <w:lang w:val="fr-FR"/>
              </w:rPr>
              <w:t>Titre(s) alternatif(s)</w:t>
            </w:r>
          </w:p>
        </w:tc>
        <w:tc>
          <w:tcPr>
            <w:tcW w:w="6657" w:type="dxa"/>
            <w:gridSpan w:val="4"/>
          </w:tcPr>
          <w:p w14:paraId="3FD25BE1" w14:textId="77777777" w:rsidR="00B23307" w:rsidRPr="00A463C5" w:rsidRDefault="00B23307" w:rsidP="00606C69">
            <w:pPr>
              <w:spacing w:after="0"/>
              <w:rPr>
                <w:lang w:val="fr-FR"/>
              </w:rPr>
            </w:pPr>
            <w:r w:rsidRPr="00A463C5">
              <w:rPr>
                <w:lang w:val="fr-FR"/>
              </w:rPr>
              <w:t>Modèle de semi-élasticité</w:t>
            </w:r>
          </w:p>
        </w:tc>
      </w:tr>
      <w:tr w:rsidR="00B23307" w:rsidRPr="004A729B" w14:paraId="7FB7724D" w14:textId="77777777" w:rsidTr="00606C69">
        <w:tc>
          <w:tcPr>
            <w:tcW w:w="2405" w:type="dxa"/>
            <w:gridSpan w:val="2"/>
            <w:shd w:val="clear" w:color="auto" w:fill="DEEAF6" w:themeFill="accent5" w:themeFillTint="33"/>
          </w:tcPr>
          <w:p w14:paraId="315C916A" w14:textId="77777777" w:rsidR="00B23307" w:rsidRPr="00A463C5" w:rsidRDefault="00B23307" w:rsidP="00606C69">
            <w:pPr>
              <w:spacing w:after="0"/>
              <w:rPr>
                <w:b/>
                <w:bCs/>
                <w:lang w:val="fr-FR"/>
              </w:rPr>
            </w:pPr>
            <w:r w:rsidRPr="00A463C5">
              <w:rPr>
                <w:b/>
                <w:bCs/>
                <w:lang w:val="fr-FR"/>
              </w:rPr>
              <w:t>Groupe de méthodes</w:t>
            </w:r>
          </w:p>
        </w:tc>
        <w:tc>
          <w:tcPr>
            <w:tcW w:w="6657" w:type="dxa"/>
            <w:gridSpan w:val="4"/>
          </w:tcPr>
          <w:p w14:paraId="47436646" w14:textId="0CEE3B8F" w:rsidR="00B23307" w:rsidRPr="00A463C5" w:rsidRDefault="00B23307" w:rsidP="00606C69">
            <w:pPr>
              <w:spacing w:after="0"/>
              <w:rPr>
                <w:lang w:val="fr-FR"/>
              </w:rPr>
            </w:pPr>
            <w:r w:rsidRPr="00A463C5">
              <w:rPr>
                <w:lang w:val="fr-FR"/>
              </w:rPr>
              <w:t>L'év</w:t>
            </w:r>
            <w:r w:rsidR="00C06D18">
              <w:rPr>
                <w:lang w:val="fr-FR"/>
              </w:rPr>
              <w:t>itement</w:t>
            </w:r>
            <w:r w:rsidRPr="00A463C5">
              <w:rPr>
                <w:lang w:val="fr-FR"/>
              </w:rPr>
              <w:t xml:space="preserve"> fisca</w:t>
            </w:r>
            <w:r>
              <w:rPr>
                <w:lang w:val="fr-FR"/>
              </w:rPr>
              <w:t>l</w:t>
            </w:r>
            <w:r w:rsidRPr="00A463C5">
              <w:rPr>
                <w:lang w:val="fr-FR"/>
              </w:rPr>
              <w:t xml:space="preserve"> international par les </w:t>
            </w:r>
            <w:r>
              <w:rPr>
                <w:lang w:val="fr-FR"/>
              </w:rPr>
              <w:t>EMN</w:t>
            </w:r>
          </w:p>
        </w:tc>
      </w:tr>
      <w:tr w:rsidR="00B23307" w:rsidRPr="00A463C5" w14:paraId="57EADB9A" w14:textId="77777777" w:rsidTr="00606C69">
        <w:tc>
          <w:tcPr>
            <w:tcW w:w="2405" w:type="dxa"/>
            <w:gridSpan w:val="2"/>
            <w:shd w:val="clear" w:color="auto" w:fill="DEEAF6" w:themeFill="accent5" w:themeFillTint="33"/>
          </w:tcPr>
          <w:p w14:paraId="3BA9033C" w14:textId="77777777" w:rsidR="00B23307" w:rsidRPr="00A463C5" w:rsidRDefault="00B23307" w:rsidP="00606C69">
            <w:pPr>
              <w:spacing w:after="0"/>
              <w:rPr>
                <w:b/>
                <w:bCs/>
                <w:lang w:val="fr-FR"/>
              </w:rPr>
            </w:pPr>
            <w:r w:rsidRPr="00A463C5">
              <w:rPr>
                <w:b/>
                <w:bCs/>
                <w:lang w:val="fr-FR"/>
              </w:rPr>
              <w:t xml:space="preserve">Type de flux </w:t>
            </w:r>
            <w:r>
              <w:rPr>
                <w:b/>
                <w:bCs/>
                <w:lang w:val="fr-FR"/>
              </w:rPr>
              <w:t>FFI</w:t>
            </w:r>
            <w:r w:rsidRPr="00A463C5">
              <w:rPr>
                <w:b/>
                <w:bCs/>
                <w:lang w:val="fr-FR"/>
              </w:rPr>
              <w:t xml:space="preserve"> ciblés</w:t>
            </w:r>
          </w:p>
        </w:tc>
        <w:tc>
          <w:tcPr>
            <w:tcW w:w="3827" w:type="dxa"/>
            <w:gridSpan w:val="2"/>
          </w:tcPr>
          <w:p w14:paraId="5DEDFA06" w14:textId="0D972819" w:rsidR="00B23307" w:rsidRPr="00A463C5" w:rsidRDefault="00B23307" w:rsidP="00606C69">
            <w:pPr>
              <w:spacing w:after="0"/>
              <w:rPr>
                <w:lang w:val="fr-FR"/>
              </w:rPr>
            </w:pPr>
            <w:r w:rsidRPr="00A463C5">
              <w:rPr>
                <w:lang w:val="fr-FR"/>
              </w:rPr>
              <w:t xml:space="preserve">F3-F5 </w:t>
            </w:r>
            <w:r w:rsidR="0042157B">
              <w:rPr>
                <w:lang w:val="fr-FR"/>
              </w:rPr>
              <w:t>Evitement fiscal agressif ou t</w:t>
            </w:r>
            <w:r w:rsidR="0042157B" w:rsidRPr="00A463C5">
              <w:rPr>
                <w:lang w:val="fr-FR"/>
              </w:rPr>
              <w:t>ransfert de bénéfices</w:t>
            </w:r>
            <w:r w:rsidR="0042157B">
              <w:rPr>
                <w:lang w:val="fr-FR"/>
              </w:rPr>
              <w:t xml:space="preserve"> par les EMN</w:t>
            </w:r>
          </w:p>
        </w:tc>
        <w:tc>
          <w:tcPr>
            <w:tcW w:w="1985" w:type="dxa"/>
            <w:shd w:val="clear" w:color="auto" w:fill="DEEAF6" w:themeFill="accent5" w:themeFillTint="33"/>
          </w:tcPr>
          <w:p w14:paraId="0D9DA13C" w14:textId="77777777" w:rsidR="00B23307" w:rsidRPr="00A463C5" w:rsidRDefault="00B23307" w:rsidP="00606C69">
            <w:pPr>
              <w:spacing w:after="0"/>
              <w:rPr>
                <w:b/>
                <w:bCs/>
                <w:lang w:val="fr-FR"/>
              </w:rPr>
            </w:pPr>
            <w:r w:rsidRPr="00A463C5">
              <w:rPr>
                <w:b/>
                <w:bCs/>
                <w:lang w:val="fr-FR"/>
              </w:rPr>
              <w:t>Classification par niveau</w:t>
            </w:r>
          </w:p>
        </w:tc>
        <w:tc>
          <w:tcPr>
            <w:tcW w:w="845" w:type="dxa"/>
          </w:tcPr>
          <w:p w14:paraId="733F213B" w14:textId="77777777" w:rsidR="00B23307" w:rsidRPr="00A463C5" w:rsidRDefault="00B23307" w:rsidP="00606C69">
            <w:pPr>
              <w:spacing w:after="0"/>
              <w:rPr>
                <w:lang w:val="fr-FR"/>
              </w:rPr>
            </w:pPr>
            <w:r w:rsidRPr="00A463C5">
              <w:rPr>
                <w:lang w:val="fr-FR"/>
              </w:rPr>
              <w:t xml:space="preserve">Niveau </w:t>
            </w:r>
            <w:r>
              <w:rPr>
                <w:lang w:val="fr-FR"/>
              </w:rPr>
              <w:t>3</w:t>
            </w:r>
          </w:p>
        </w:tc>
      </w:tr>
      <w:tr w:rsidR="00B23307" w:rsidRPr="00A463C5" w14:paraId="20634FB0" w14:textId="77777777" w:rsidTr="00606C69">
        <w:tc>
          <w:tcPr>
            <w:tcW w:w="9062" w:type="dxa"/>
            <w:gridSpan w:val="6"/>
            <w:shd w:val="clear" w:color="auto" w:fill="DEEAF6" w:themeFill="accent5" w:themeFillTint="33"/>
          </w:tcPr>
          <w:p w14:paraId="67F796DB" w14:textId="77777777" w:rsidR="00B23307" w:rsidRPr="00A463C5" w:rsidRDefault="00B23307" w:rsidP="00606C69">
            <w:pPr>
              <w:spacing w:after="0"/>
              <w:rPr>
                <w:lang w:val="fr-FR"/>
              </w:rPr>
            </w:pPr>
            <w:r w:rsidRPr="00A463C5">
              <w:rPr>
                <w:noProof/>
                <w:lang w:val="fr-FR"/>
              </w:rPr>
              <w:drawing>
                <wp:inline distT="0" distB="0" distL="0" distR="0" wp14:anchorId="5A791B8F" wp14:editId="732320AD">
                  <wp:extent cx="288000" cy="288000"/>
                  <wp:effectExtent l="0" t="0" r="0" b="0"/>
                  <wp:docPr id="214" name="Graphic 214"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Concept </w:t>
            </w:r>
          </w:p>
        </w:tc>
      </w:tr>
      <w:tr w:rsidR="00B23307" w:rsidRPr="004A729B" w14:paraId="78E7BA16" w14:textId="77777777" w:rsidTr="00606C69">
        <w:tc>
          <w:tcPr>
            <w:tcW w:w="9062" w:type="dxa"/>
            <w:gridSpan w:val="6"/>
          </w:tcPr>
          <w:p w14:paraId="1CF4DDA5" w14:textId="77777777" w:rsidR="00B23307" w:rsidRPr="00A463C5" w:rsidRDefault="00B23307" w:rsidP="00606C69">
            <w:pPr>
              <w:spacing w:after="0"/>
              <w:rPr>
                <w:lang w:val="fr-FR"/>
              </w:rPr>
            </w:pPr>
            <w:r w:rsidRPr="0028288F">
              <w:rPr>
                <w:lang w:val="fr-FR"/>
              </w:rPr>
              <w:t xml:space="preserve">La méthode examine la répartition des bénéfices d'une </w:t>
            </w:r>
            <w:r>
              <w:rPr>
                <w:lang w:val="fr-FR"/>
              </w:rPr>
              <w:t>EMN</w:t>
            </w:r>
            <w:r w:rsidRPr="0028288F">
              <w:rPr>
                <w:lang w:val="fr-FR"/>
              </w:rPr>
              <w:t xml:space="preserve"> entre ses unités </w:t>
            </w:r>
            <w:r>
              <w:rPr>
                <w:lang w:val="fr-FR"/>
              </w:rPr>
              <w:t>sur le plan</w:t>
            </w:r>
            <w:r w:rsidRPr="0028288F">
              <w:rPr>
                <w:lang w:val="fr-FR"/>
              </w:rPr>
              <w:t xml:space="preserve"> mondial et la compare avec les taux d'imposition (effectifs) des sociétés correspondantes et l'activité économique sous-jacente d'une unité particulière.</w:t>
            </w:r>
            <w:r w:rsidRPr="00A463C5">
              <w:rPr>
                <w:lang w:val="fr-FR"/>
              </w:rPr>
              <w:t xml:space="preserve"> La méthode part du principe qu'une unité multinationale est susceptible de transférer ses bénéfices hors du pays si le régime fiscal d'une autre unité induit un taux d'imposition inférieur.</w:t>
            </w:r>
          </w:p>
        </w:tc>
      </w:tr>
      <w:tr w:rsidR="00B23307" w:rsidRPr="00A463C5" w14:paraId="21BF0A9B" w14:textId="77777777" w:rsidTr="00606C69">
        <w:tc>
          <w:tcPr>
            <w:tcW w:w="9062" w:type="dxa"/>
            <w:gridSpan w:val="6"/>
            <w:shd w:val="clear" w:color="auto" w:fill="DEEAF6" w:themeFill="accent5" w:themeFillTint="33"/>
          </w:tcPr>
          <w:p w14:paraId="6CDAD234" w14:textId="77777777" w:rsidR="00B23307" w:rsidRPr="00A463C5" w:rsidRDefault="00B23307" w:rsidP="00606C69">
            <w:pPr>
              <w:spacing w:after="0"/>
              <w:rPr>
                <w:lang w:val="fr-FR"/>
              </w:rPr>
            </w:pPr>
            <w:r w:rsidRPr="00A463C5">
              <w:rPr>
                <w:noProof/>
                <w:lang w:val="fr-FR"/>
              </w:rPr>
              <w:drawing>
                <wp:inline distT="0" distB="0" distL="0" distR="0" wp14:anchorId="25A983FC" wp14:editId="73392D31">
                  <wp:extent cx="288000" cy="288000"/>
                  <wp:effectExtent l="0" t="0" r="0" b="0"/>
                  <wp:docPr id="217" name="Graphic 217"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7"/>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r w:rsidRPr="00A463C5">
              <w:rPr>
                <w:b/>
                <w:bCs/>
                <w:lang w:val="fr-FR"/>
              </w:rPr>
              <w:t>Hypothèses</w:t>
            </w:r>
          </w:p>
        </w:tc>
      </w:tr>
      <w:tr w:rsidR="00B23307" w:rsidRPr="004A729B" w14:paraId="6127B7D5" w14:textId="77777777" w:rsidTr="00606C69">
        <w:tc>
          <w:tcPr>
            <w:tcW w:w="9062" w:type="dxa"/>
            <w:gridSpan w:val="6"/>
          </w:tcPr>
          <w:p w14:paraId="39069D92" w14:textId="77777777" w:rsidR="00B23307" w:rsidRPr="00A463C5" w:rsidRDefault="00B23307" w:rsidP="00606C69">
            <w:pPr>
              <w:spacing w:after="0"/>
              <w:rPr>
                <w:lang w:val="fr-FR"/>
              </w:rPr>
            </w:pPr>
            <w:r w:rsidRPr="00A463C5">
              <w:rPr>
                <w:lang w:val="fr-FR"/>
              </w:rPr>
              <w:t>1. Tout écart systématique par rapport à la rentabilité prévue de l'unité est un signe de transfert de bénéfices.</w:t>
            </w:r>
          </w:p>
          <w:p w14:paraId="4DD7CBE5" w14:textId="77777777" w:rsidR="00B23307" w:rsidRPr="00A463C5" w:rsidRDefault="00B23307" w:rsidP="00606C69">
            <w:pPr>
              <w:spacing w:after="0"/>
              <w:rPr>
                <w:lang w:val="fr-FR"/>
              </w:rPr>
            </w:pPr>
            <w:r w:rsidRPr="00A463C5">
              <w:rPr>
                <w:lang w:val="fr-FR"/>
              </w:rPr>
              <w:t>2. Si les taux d'imposition nationaux sont plus élevés que dans le pays partenaire, les bénéfices sont transférés hors d</w:t>
            </w:r>
            <w:r>
              <w:rPr>
                <w:lang w:val="fr-FR"/>
              </w:rPr>
              <w:t>u</w:t>
            </w:r>
            <w:r w:rsidRPr="00A463C5">
              <w:rPr>
                <w:lang w:val="fr-FR"/>
              </w:rPr>
              <w:t xml:space="preserve"> pays.</w:t>
            </w:r>
          </w:p>
          <w:p w14:paraId="6AB5F292" w14:textId="77777777" w:rsidR="00B23307" w:rsidRPr="00A463C5" w:rsidRDefault="00B23307" w:rsidP="00606C69">
            <w:pPr>
              <w:spacing w:after="0"/>
              <w:rPr>
                <w:lang w:val="fr-FR"/>
              </w:rPr>
            </w:pPr>
            <w:r w:rsidRPr="00A463C5">
              <w:rPr>
                <w:lang w:val="fr-FR"/>
              </w:rPr>
              <w:t xml:space="preserve">3. L'effet marginal du changement de taux d'imposition se traduit par le montant des bénéfices transférés. </w:t>
            </w:r>
          </w:p>
        </w:tc>
      </w:tr>
      <w:tr w:rsidR="00B23307" w:rsidRPr="00A463C5" w14:paraId="68A17F4B" w14:textId="77777777" w:rsidTr="00606C69">
        <w:tc>
          <w:tcPr>
            <w:tcW w:w="4530" w:type="dxa"/>
            <w:gridSpan w:val="3"/>
            <w:shd w:val="clear" w:color="auto" w:fill="DEEAF6" w:themeFill="accent5" w:themeFillTint="33"/>
          </w:tcPr>
          <w:p w14:paraId="4BC45CB1" w14:textId="77777777" w:rsidR="00B23307" w:rsidRPr="00A463C5" w:rsidRDefault="00B23307" w:rsidP="00606C69">
            <w:pPr>
              <w:spacing w:after="0"/>
              <w:rPr>
                <w:lang w:val="fr-FR"/>
              </w:rPr>
            </w:pPr>
            <w:r w:rsidRPr="00A463C5">
              <w:rPr>
                <w:noProof/>
                <w:lang w:val="fr-FR"/>
              </w:rPr>
              <w:drawing>
                <wp:inline distT="0" distB="0" distL="0" distR="0" wp14:anchorId="7387980D" wp14:editId="33E11040">
                  <wp:extent cx="288000" cy="288000"/>
                  <wp:effectExtent l="0" t="0" r="0" b="0"/>
                  <wp:docPr id="7" name="Graphic 7"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0"/>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Points forts </w:t>
            </w:r>
          </w:p>
        </w:tc>
        <w:tc>
          <w:tcPr>
            <w:tcW w:w="4532" w:type="dxa"/>
            <w:gridSpan w:val="3"/>
            <w:shd w:val="clear" w:color="auto" w:fill="DEEAF6" w:themeFill="accent5" w:themeFillTint="33"/>
          </w:tcPr>
          <w:p w14:paraId="4724C4DF" w14:textId="77777777" w:rsidR="00B23307" w:rsidRPr="00A463C5" w:rsidRDefault="00B23307" w:rsidP="00606C69">
            <w:pPr>
              <w:spacing w:after="0"/>
              <w:rPr>
                <w:lang w:val="fr-FR"/>
              </w:rPr>
            </w:pPr>
            <w:r w:rsidRPr="00A463C5">
              <w:rPr>
                <w:noProof/>
                <w:lang w:val="fr-FR"/>
              </w:rPr>
              <w:drawing>
                <wp:inline distT="0" distB="0" distL="0" distR="0" wp14:anchorId="5C3945E2" wp14:editId="1C3AD8C1">
                  <wp:extent cx="288000" cy="288000"/>
                  <wp:effectExtent l="0" t="0" r="0" b="0"/>
                  <wp:docPr id="31" name="Graphic 31"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r w:rsidRPr="00A463C5">
              <w:rPr>
                <w:b/>
                <w:bCs/>
                <w:lang w:val="fr-FR"/>
              </w:rPr>
              <w:t>Limitations</w:t>
            </w:r>
          </w:p>
        </w:tc>
      </w:tr>
      <w:tr w:rsidR="00B23307" w:rsidRPr="004A729B" w14:paraId="15DB386B" w14:textId="77777777" w:rsidTr="00606C69">
        <w:tc>
          <w:tcPr>
            <w:tcW w:w="4530" w:type="dxa"/>
            <w:gridSpan w:val="3"/>
          </w:tcPr>
          <w:p w14:paraId="169D49BF" w14:textId="77777777" w:rsidR="00B23307" w:rsidRPr="00A463C5" w:rsidRDefault="00B23307" w:rsidP="00606C69">
            <w:pPr>
              <w:spacing w:after="0"/>
              <w:rPr>
                <w:lang w:val="fr-FR"/>
              </w:rPr>
            </w:pPr>
            <w:r w:rsidRPr="00A463C5">
              <w:rPr>
                <w:lang w:val="fr-FR"/>
              </w:rPr>
              <w:t>1. Un concept simple.</w:t>
            </w:r>
          </w:p>
          <w:p w14:paraId="2B22F4A3" w14:textId="77777777" w:rsidR="00B23307" w:rsidRPr="00A463C5" w:rsidRDefault="00B23307" w:rsidP="00606C69">
            <w:pPr>
              <w:spacing w:after="0"/>
              <w:rPr>
                <w:lang w:val="fr-FR"/>
              </w:rPr>
            </w:pPr>
            <w:r w:rsidRPr="00A463C5">
              <w:rPr>
                <w:lang w:val="fr-FR"/>
              </w:rPr>
              <w:t xml:space="preserve">2. Disponibilité des données. </w:t>
            </w:r>
          </w:p>
          <w:p w14:paraId="770FD94B" w14:textId="77777777" w:rsidR="00B23307" w:rsidRPr="00A463C5" w:rsidRDefault="00B23307" w:rsidP="00606C69">
            <w:pPr>
              <w:spacing w:after="0"/>
              <w:rPr>
                <w:lang w:val="fr-FR"/>
              </w:rPr>
            </w:pPr>
            <w:r w:rsidRPr="00A463C5">
              <w:rPr>
                <w:lang w:val="fr-FR"/>
              </w:rPr>
              <w:t xml:space="preserve">3. Possibilité d'améliorations. </w:t>
            </w:r>
          </w:p>
        </w:tc>
        <w:tc>
          <w:tcPr>
            <w:tcW w:w="4532" w:type="dxa"/>
            <w:gridSpan w:val="3"/>
          </w:tcPr>
          <w:p w14:paraId="36100869" w14:textId="77777777" w:rsidR="00B23307" w:rsidRPr="00A463C5" w:rsidRDefault="00B23307" w:rsidP="00606C69">
            <w:pPr>
              <w:spacing w:after="0"/>
              <w:rPr>
                <w:lang w:val="fr-FR"/>
              </w:rPr>
            </w:pPr>
            <w:r w:rsidRPr="00A463C5">
              <w:rPr>
                <w:lang w:val="fr-FR"/>
              </w:rPr>
              <w:t xml:space="preserve">1. Sous-estime le montant du transfert de bénéfices. </w:t>
            </w:r>
          </w:p>
          <w:p w14:paraId="201F68DB" w14:textId="77777777" w:rsidR="00B23307" w:rsidRPr="00A463C5" w:rsidRDefault="00B23307" w:rsidP="00606C69">
            <w:pPr>
              <w:spacing w:after="0"/>
              <w:rPr>
                <w:lang w:val="fr-FR"/>
              </w:rPr>
            </w:pPr>
            <w:r w:rsidRPr="00A463C5">
              <w:rPr>
                <w:lang w:val="fr-FR"/>
              </w:rPr>
              <w:t>2. Taux d'imposition d</w:t>
            </w:r>
            <w:r>
              <w:rPr>
                <w:lang w:val="fr-FR"/>
              </w:rPr>
              <w:t>iff</w:t>
            </w:r>
            <w:r w:rsidRPr="00A463C5">
              <w:rPr>
                <w:lang w:val="fr-FR"/>
              </w:rPr>
              <w:t>icile à déterminer pour l'unité multinationale.</w:t>
            </w:r>
          </w:p>
          <w:p w14:paraId="700662B0" w14:textId="77777777" w:rsidR="00B23307" w:rsidRPr="00A463C5" w:rsidRDefault="00B23307" w:rsidP="00606C69">
            <w:pPr>
              <w:spacing w:after="0"/>
              <w:rPr>
                <w:lang w:val="fr-FR"/>
              </w:rPr>
            </w:pPr>
            <w:r w:rsidRPr="00A463C5">
              <w:rPr>
                <w:lang w:val="fr-FR"/>
              </w:rPr>
              <w:t>3. La sensibilité à l'impôt peut varier en fonction des d</w:t>
            </w:r>
            <w:r>
              <w:rPr>
                <w:lang w:val="fr-FR"/>
              </w:rPr>
              <w:t>iff</w:t>
            </w:r>
            <w:r w:rsidRPr="00A463C5">
              <w:rPr>
                <w:lang w:val="fr-FR"/>
              </w:rPr>
              <w:t>érents régimes fiscaux ou de la taille de l'</w:t>
            </w:r>
            <w:r>
              <w:rPr>
                <w:lang w:val="fr-FR"/>
              </w:rPr>
              <w:t>EMN</w:t>
            </w:r>
            <w:r w:rsidRPr="00A463C5">
              <w:rPr>
                <w:lang w:val="fr-FR"/>
              </w:rPr>
              <w:t>.</w:t>
            </w:r>
          </w:p>
          <w:p w14:paraId="4004DE91" w14:textId="77777777" w:rsidR="00B23307" w:rsidRPr="00A463C5" w:rsidRDefault="00B23307" w:rsidP="00606C69">
            <w:pPr>
              <w:spacing w:after="0"/>
              <w:rPr>
                <w:lang w:val="fr-FR"/>
              </w:rPr>
            </w:pPr>
            <w:r w:rsidRPr="00A463C5">
              <w:rPr>
                <w:lang w:val="fr-FR"/>
              </w:rPr>
              <w:t xml:space="preserve">4. Les limitations des données ne permettent généralement pas de prendre en compte la totalité des unités des </w:t>
            </w:r>
            <w:r>
              <w:rPr>
                <w:lang w:val="fr-FR"/>
              </w:rPr>
              <w:t>EMN</w:t>
            </w:r>
            <w:r w:rsidRPr="00A463C5">
              <w:rPr>
                <w:lang w:val="fr-FR"/>
              </w:rPr>
              <w:t>.</w:t>
            </w:r>
          </w:p>
        </w:tc>
      </w:tr>
      <w:tr w:rsidR="00B23307" w:rsidRPr="00A463C5" w14:paraId="179FBA81" w14:textId="77777777" w:rsidTr="00606C69">
        <w:tc>
          <w:tcPr>
            <w:tcW w:w="4530" w:type="dxa"/>
            <w:gridSpan w:val="3"/>
            <w:shd w:val="clear" w:color="auto" w:fill="DEEAF6" w:themeFill="accent5" w:themeFillTint="33"/>
          </w:tcPr>
          <w:p w14:paraId="16102F40" w14:textId="77777777" w:rsidR="00B23307" w:rsidRPr="00A463C5" w:rsidRDefault="00B23307" w:rsidP="00606C69">
            <w:pPr>
              <w:spacing w:after="0"/>
              <w:rPr>
                <w:lang w:val="fr-FR"/>
              </w:rPr>
            </w:pPr>
            <w:r w:rsidRPr="00A463C5">
              <w:rPr>
                <w:noProof/>
                <w:lang w:val="fr-FR"/>
              </w:rPr>
              <w:drawing>
                <wp:inline distT="0" distB="0" distL="0" distR="0" wp14:anchorId="189A1BF0" wp14:editId="6B2E8606">
                  <wp:extent cx="288000" cy="288000"/>
                  <wp:effectExtent l="0" t="0" r="0" b="0"/>
                  <wp:docPr id="218" name="Graphic 218"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8"/>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r w:rsidRPr="00A463C5">
              <w:rPr>
                <w:b/>
                <w:bCs/>
                <w:lang w:val="fr-FR"/>
              </w:rPr>
              <w:t>Sources de données</w:t>
            </w:r>
          </w:p>
        </w:tc>
        <w:tc>
          <w:tcPr>
            <w:tcW w:w="4532" w:type="dxa"/>
            <w:gridSpan w:val="3"/>
            <w:shd w:val="clear" w:color="auto" w:fill="DEEAF6" w:themeFill="accent5" w:themeFillTint="33"/>
          </w:tcPr>
          <w:p w14:paraId="05F15D94" w14:textId="77777777" w:rsidR="00B23307" w:rsidRPr="00A463C5" w:rsidRDefault="00B23307" w:rsidP="00606C69">
            <w:pPr>
              <w:spacing w:after="0"/>
              <w:rPr>
                <w:lang w:val="fr-FR"/>
              </w:rPr>
            </w:pPr>
            <w:r w:rsidRPr="00A463C5">
              <w:rPr>
                <w:noProof/>
                <w:lang w:val="fr-FR"/>
              </w:rPr>
              <w:drawing>
                <wp:inline distT="0" distB="0" distL="0" distR="0" wp14:anchorId="72D88B17" wp14:editId="785CD562">
                  <wp:extent cx="288000" cy="288000"/>
                  <wp:effectExtent l="0" t="0" r="0" b="0"/>
                  <wp:docPr id="33" name="Graphic 33"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3"/>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Atténuation des limitations </w:t>
            </w:r>
          </w:p>
        </w:tc>
      </w:tr>
      <w:tr w:rsidR="00B23307" w:rsidRPr="004A729B" w14:paraId="6006C6EA" w14:textId="77777777" w:rsidTr="00606C69">
        <w:tc>
          <w:tcPr>
            <w:tcW w:w="4530" w:type="dxa"/>
            <w:gridSpan w:val="3"/>
          </w:tcPr>
          <w:p w14:paraId="65C2A221" w14:textId="77777777" w:rsidR="00B23307" w:rsidRPr="00A463C5" w:rsidRDefault="00B23307" w:rsidP="00606C69">
            <w:pPr>
              <w:spacing w:after="0"/>
              <w:rPr>
                <w:lang w:val="fr-FR"/>
              </w:rPr>
            </w:pPr>
            <w:r w:rsidRPr="00A463C5">
              <w:rPr>
                <w:lang w:val="fr-FR"/>
              </w:rPr>
              <w:t xml:space="preserve">1. </w:t>
            </w:r>
            <w:r>
              <w:rPr>
                <w:lang w:val="fr-FR"/>
              </w:rPr>
              <w:t>Microdonnées</w:t>
            </w:r>
            <w:r w:rsidRPr="00A463C5">
              <w:rPr>
                <w:lang w:val="fr-FR"/>
              </w:rPr>
              <w:t xml:space="preserve"> CbCR de l'OCDE ou, si elles ne sont pas disponibles, agrégées au niveau du pays.</w:t>
            </w:r>
          </w:p>
          <w:p w14:paraId="76D2BFD3" w14:textId="77777777" w:rsidR="00B23307" w:rsidRPr="00A463C5" w:rsidRDefault="00B23307" w:rsidP="00606C69">
            <w:pPr>
              <w:spacing w:after="0"/>
              <w:rPr>
                <w:lang w:val="fr-FR"/>
              </w:rPr>
            </w:pPr>
            <w:r w:rsidRPr="00A463C5">
              <w:rPr>
                <w:lang w:val="fr-FR"/>
              </w:rPr>
              <w:t>2. Si le CbCR n'est pas disponible, construi</w:t>
            </w:r>
            <w:r>
              <w:rPr>
                <w:lang w:val="fr-FR"/>
              </w:rPr>
              <w:t>re</w:t>
            </w:r>
            <w:r w:rsidRPr="00A463C5">
              <w:rPr>
                <w:lang w:val="fr-FR"/>
              </w:rPr>
              <w:t xml:space="preserve"> un ensemble de données à partir d'autres sources, telles que les bases de données de l'OCDE </w:t>
            </w:r>
            <w:r w:rsidRPr="00A463C5">
              <w:rPr>
                <w:lang w:val="fr-FR"/>
              </w:rPr>
              <w:lastRenderedPageBreak/>
              <w:t xml:space="preserve">(ADIMA, AMNE et Base de données fiscales), GGR, </w:t>
            </w:r>
            <w:r>
              <w:rPr>
                <w:lang w:val="fr-FR"/>
              </w:rPr>
              <w:t>l’EuroGroup Register (EGR)</w:t>
            </w:r>
            <w:r w:rsidRPr="00A463C5">
              <w:rPr>
                <w:lang w:val="fr-FR"/>
              </w:rPr>
              <w:t xml:space="preserve"> ou similaire.</w:t>
            </w:r>
          </w:p>
          <w:p w14:paraId="0E15FAD1" w14:textId="77777777" w:rsidR="00B23307" w:rsidRPr="00A463C5" w:rsidRDefault="00B23307" w:rsidP="00606C69">
            <w:pPr>
              <w:spacing w:after="0"/>
              <w:rPr>
                <w:lang w:val="fr-FR"/>
              </w:rPr>
            </w:pPr>
            <w:r w:rsidRPr="00A463C5">
              <w:rPr>
                <w:lang w:val="fr-FR"/>
              </w:rPr>
              <w:t>3. Complé</w:t>
            </w:r>
            <w:r>
              <w:rPr>
                <w:lang w:val="fr-FR"/>
              </w:rPr>
              <w:t>ter</w:t>
            </w:r>
            <w:r w:rsidRPr="00A463C5">
              <w:rPr>
                <w:lang w:val="fr-FR"/>
              </w:rPr>
              <w:t xml:space="preserve"> avec les données de l'ONU, KPMG, Orbis</w:t>
            </w:r>
          </w:p>
        </w:tc>
        <w:tc>
          <w:tcPr>
            <w:tcW w:w="4532" w:type="dxa"/>
            <w:gridSpan w:val="3"/>
          </w:tcPr>
          <w:p w14:paraId="7C43CC75" w14:textId="77777777" w:rsidR="00B23307" w:rsidRPr="00A463C5" w:rsidRDefault="00B23307" w:rsidP="00606C69">
            <w:pPr>
              <w:spacing w:after="0"/>
              <w:rPr>
                <w:lang w:val="fr-FR"/>
              </w:rPr>
            </w:pPr>
            <w:r w:rsidRPr="00A463C5">
              <w:rPr>
                <w:lang w:val="fr-FR"/>
              </w:rPr>
              <w:lastRenderedPageBreak/>
              <w:t>1. Utilise</w:t>
            </w:r>
            <w:r>
              <w:rPr>
                <w:lang w:val="fr-FR"/>
              </w:rPr>
              <w:t>r</w:t>
            </w:r>
            <w:r w:rsidRPr="00A463C5">
              <w:rPr>
                <w:lang w:val="fr-FR"/>
              </w:rPr>
              <w:t xml:space="preserve"> le taux d'imposition moyen effectif.</w:t>
            </w:r>
          </w:p>
          <w:p w14:paraId="5007AEF9" w14:textId="77777777" w:rsidR="00B23307" w:rsidRPr="00A463C5" w:rsidRDefault="00B23307" w:rsidP="00606C69">
            <w:pPr>
              <w:spacing w:after="0"/>
              <w:rPr>
                <w:lang w:val="fr-FR"/>
              </w:rPr>
            </w:pPr>
            <w:r w:rsidRPr="00A463C5">
              <w:rPr>
                <w:lang w:val="fr-FR"/>
              </w:rPr>
              <w:t xml:space="preserve">2. Introduire une variable fiscale au carré pour tenir compte de la sensibilité inégale à l'impôt selon les juridictions fiscales. </w:t>
            </w:r>
          </w:p>
          <w:p w14:paraId="51D053B5" w14:textId="77777777" w:rsidR="00B23307" w:rsidRPr="00A463C5" w:rsidRDefault="00B23307" w:rsidP="00606C69">
            <w:pPr>
              <w:spacing w:after="0"/>
              <w:rPr>
                <w:lang w:val="fr-FR"/>
              </w:rPr>
            </w:pPr>
            <w:r w:rsidRPr="00A463C5">
              <w:rPr>
                <w:lang w:val="fr-FR"/>
              </w:rPr>
              <w:t xml:space="preserve">3. Compléter l'analyse économétrique par une interprétation utilisant le lieu, l'activité </w:t>
            </w:r>
            <w:r w:rsidRPr="00A463C5">
              <w:rPr>
                <w:lang w:val="fr-FR"/>
              </w:rPr>
              <w:lastRenderedPageBreak/>
              <w:t xml:space="preserve">économique et la comparaison avec un groupe </w:t>
            </w:r>
            <w:r>
              <w:rPr>
                <w:lang w:val="fr-FR"/>
              </w:rPr>
              <w:t>semblable</w:t>
            </w:r>
            <w:r w:rsidRPr="00A463C5">
              <w:rPr>
                <w:lang w:val="fr-FR"/>
              </w:rPr>
              <w:t>.</w:t>
            </w:r>
          </w:p>
          <w:p w14:paraId="40282B02" w14:textId="77777777" w:rsidR="00B23307" w:rsidRPr="00A463C5" w:rsidRDefault="00B23307" w:rsidP="00606C69">
            <w:pPr>
              <w:spacing w:after="0"/>
              <w:rPr>
                <w:lang w:val="fr-FR"/>
              </w:rPr>
            </w:pPr>
            <w:r w:rsidRPr="00A463C5">
              <w:rPr>
                <w:lang w:val="fr-FR"/>
              </w:rPr>
              <w:t xml:space="preserve">4. Compte tenu de la disponibilité des données et de la taille de l'échantillon, appliquer </w:t>
            </w:r>
            <w:r w:rsidRPr="002043ED">
              <w:rPr>
                <w:lang w:val="fr-FR"/>
              </w:rPr>
              <w:t>également des variations de taille dans la spécification du modèle (par exemple, régression par quartile, régression pondérée).</w:t>
            </w:r>
          </w:p>
        </w:tc>
      </w:tr>
      <w:tr w:rsidR="00B23307" w:rsidRPr="00A463C5" w14:paraId="38242AC1" w14:textId="77777777" w:rsidTr="00606C69">
        <w:tc>
          <w:tcPr>
            <w:tcW w:w="9062" w:type="dxa"/>
            <w:gridSpan w:val="6"/>
            <w:shd w:val="clear" w:color="auto" w:fill="DEEAF6" w:themeFill="accent5" w:themeFillTint="33"/>
          </w:tcPr>
          <w:p w14:paraId="7F09DB04" w14:textId="77777777" w:rsidR="00B23307" w:rsidRPr="00A463C5" w:rsidRDefault="00B23307" w:rsidP="00606C69">
            <w:pPr>
              <w:spacing w:after="0"/>
              <w:rPr>
                <w:lang w:val="fr-FR"/>
              </w:rPr>
            </w:pPr>
            <w:r w:rsidRPr="00A463C5">
              <w:rPr>
                <w:noProof/>
                <w:lang w:val="fr-FR"/>
              </w:rPr>
              <w:lastRenderedPageBreak/>
              <w:drawing>
                <wp:inline distT="0" distB="0" distL="0" distR="0" wp14:anchorId="1C72FD53" wp14:editId="026D2236">
                  <wp:extent cx="288000" cy="288000"/>
                  <wp:effectExtent l="0" t="0" r="0" b="0"/>
                  <wp:docPr id="219" name="Graphic 219"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9"/>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Calcul </w:t>
            </w:r>
          </w:p>
        </w:tc>
      </w:tr>
      <w:tr w:rsidR="00B23307" w:rsidRPr="004A729B" w14:paraId="6818F663" w14:textId="77777777" w:rsidTr="00606C69">
        <w:tc>
          <w:tcPr>
            <w:tcW w:w="9062" w:type="dxa"/>
            <w:gridSpan w:val="6"/>
          </w:tcPr>
          <w:p w14:paraId="5E890328" w14:textId="77777777" w:rsidR="00B23307" w:rsidRPr="00A463C5" w:rsidRDefault="00B23307" w:rsidP="00606C69">
            <w:pPr>
              <w:spacing w:after="0"/>
              <w:rPr>
                <w:lang w:val="fr-FR"/>
              </w:rPr>
            </w:pPr>
            <w:r w:rsidRPr="00A463C5">
              <w:rPr>
                <w:lang w:val="fr-FR"/>
              </w:rPr>
              <w:t>1. Déterminer le déplacement des bénéfices via la semi-élasticité des bénéfices aux impôts.</w:t>
            </w:r>
          </w:p>
          <w:p w14:paraId="494AF597" w14:textId="77777777" w:rsidR="00B23307" w:rsidRPr="00A463C5" w:rsidRDefault="00B23307" w:rsidP="00606C69">
            <w:pPr>
              <w:spacing w:after="0"/>
              <w:rPr>
                <w:lang w:val="fr-FR"/>
              </w:rPr>
            </w:pPr>
            <w:r w:rsidRPr="00A463C5">
              <w:rPr>
                <w:lang w:val="fr-FR"/>
              </w:rPr>
              <w:t>2. Mesure</w:t>
            </w:r>
            <w:r>
              <w:rPr>
                <w:lang w:val="fr-FR"/>
              </w:rPr>
              <w:t>r</w:t>
            </w:r>
            <w:r w:rsidRPr="00A463C5">
              <w:rPr>
                <w:lang w:val="fr-FR"/>
              </w:rPr>
              <w:t xml:space="preserve"> le montant des bénéfices transférés. </w:t>
            </w:r>
          </w:p>
          <w:p w14:paraId="5BBC7673" w14:textId="77777777" w:rsidR="00B23307" w:rsidRPr="00A463C5" w:rsidRDefault="00B23307" w:rsidP="00606C69">
            <w:pPr>
              <w:spacing w:after="0"/>
              <w:rPr>
                <w:lang w:val="fr-FR"/>
              </w:rPr>
            </w:pPr>
            <w:r w:rsidRPr="00A463C5">
              <w:rPr>
                <w:lang w:val="fr-FR"/>
              </w:rPr>
              <w:t xml:space="preserve">3. Agréger pour obtenir les entrées, les sorties et le total des </w:t>
            </w:r>
            <w:r>
              <w:rPr>
                <w:lang w:val="fr-FR"/>
              </w:rPr>
              <w:t>FFI</w:t>
            </w:r>
            <w:r w:rsidRPr="00A463C5">
              <w:rPr>
                <w:lang w:val="fr-FR"/>
              </w:rPr>
              <w:t>.</w:t>
            </w:r>
          </w:p>
        </w:tc>
      </w:tr>
      <w:tr w:rsidR="00B23307" w:rsidRPr="00A463C5" w14:paraId="4656C7E2" w14:textId="77777777" w:rsidTr="00606C69">
        <w:tc>
          <w:tcPr>
            <w:tcW w:w="9062" w:type="dxa"/>
            <w:gridSpan w:val="6"/>
            <w:shd w:val="clear" w:color="auto" w:fill="DEEAF6" w:themeFill="accent5" w:themeFillTint="33"/>
          </w:tcPr>
          <w:p w14:paraId="20B1214A" w14:textId="77777777" w:rsidR="00B23307" w:rsidRPr="00A463C5" w:rsidRDefault="00B23307" w:rsidP="00606C69">
            <w:pPr>
              <w:spacing w:after="0"/>
              <w:rPr>
                <w:lang w:val="fr-FR"/>
              </w:rPr>
            </w:pPr>
            <w:r w:rsidRPr="00A463C5">
              <w:rPr>
                <w:noProof/>
                <w:lang w:val="fr-FR"/>
              </w:rPr>
              <w:drawing>
                <wp:inline distT="0" distB="0" distL="0" distR="0" wp14:anchorId="2FC628EA" wp14:editId="601C74CC">
                  <wp:extent cx="288000" cy="288000"/>
                  <wp:effectExtent l="0" t="0" r="0" b="0"/>
                  <wp:docPr id="35" name="Graphic 35"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5"/>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8000" cy="288000"/>
                          </a:xfrm>
                          <a:prstGeom prst="rect">
                            <a:avLst/>
                          </a:prstGeom>
                        </pic:spPr>
                      </pic:pic>
                    </a:graphicData>
                  </a:graphic>
                </wp:inline>
              </w:drawing>
            </w:r>
            <w:r w:rsidRPr="00A463C5">
              <w:rPr>
                <w:b/>
                <w:bCs/>
                <w:lang w:val="fr-FR"/>
              </w:rPr>
              <w:t>Résultats</w:t>
            </w:r>
          </w:p>
        </w:tc>
      </w:tr>
      <w:tr w:rsidR="00B23307" w:rsidRPr="004A729B" w14:paraId="2EB6E558" w14:textId="77777777" w:rsidTr="00606C69">
        <w:tc>
          <w:tcPr>
            <w:tcW w:w="9062" w:type="dxa"/>
            <w:gridSpan w:val="6"/>
          </w:tcPr>
          <w:p w14:paraId="0A3F0531" w14:textId="77777777" w:rsidR="00B23307" w:rsidRPr="00A463C5" w:rsidRDefault="00B23307" w:rsidP="00606C69">
            <w:pPr>
              <w:spacing w:after="0"/>
              <w:rPr>
                <w:lang w:val="fr-FR"/>
              </w:rPr>
            </w:pPr>
            <w:r w:rsidRPr="00560000">
              <w:rPr>
                <w:lang w:val="fr-FR"/>
              </w:rPr>
              <w:t>Les résultats sont présentés annuellement pour l'ensemble de l’économie : FFI entrants et sortants.</w:t>
            </w:r>
          </w:p>
        </w:tc>
      </w:tr>
      <w:tr w:rsidR="00B23307" w:rsidRPr="00A463C5" w14:paraId="5F48F863" w14:textId="77777777" w:rsidTr="00606C69">
        <w:tc>
          <w:tcPr>
            <w:tcW w:w="9062" w:type="dxa"/>
            <w:gridSpan w:val="6"/>
            <w:shd w:val="clear" w:color="auto" w:fill="DEEAF6" w:themeFill="accent5" w:themeFillTint="33"/>
          </w:tcPr>
          <w:p w14:paraId="398931D1" w14:textId="77777777" w:rsidR="00B23307" w:rsidRPr="00A463C5" w:rsidRDefault="00B23307" w:rsidP="00606C69">
            <w:pPr>
              <w:spacing w:after="0"/>
              <w:rPr>
                <w:lang w:val="fr-FR"/>
              </w:rPr>
            </w:pPr>
            <w:r w:rsidRPr="00A463C5">
              <w:rPr>
                <w:noProof/>
                <w:lang w:val="fr-FR"/>
              </w:rPr>
              <w:drawing>
                <wp:inline distT="0" distB="0" distL="0" distR="0" wp14:anchorId="3EB99425" wp14:editId="707527B4">
                  <wp:extent cx="288000" cy="288000"/>
                  <wp:effectExtent l="0" t="0" r="0" b="0"/>
                  <wp:docPr id="36" name="Graphic 36"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6"/>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Note(s) spéciale(s) </w:t>
            </w:r>
          </w:p>
        </w:tc>
      </w:tr>
      <w:tr w:rsidR="00B23307" w:rsidRPr="004A729B" w14:paraId="4CA48150" w14:textId="77777777" w:rsidTr="00606C69">
        <w:tc>
          <w:tcPr>
            <w:tcW w:w="9062" w:type="dxa"/>
            <w:gridSpan w:val="6"/>
          </w:tcPr>
          <w:p w14:paraId="0D6DE986" w14:textId="29EDC3DE" w:rsidR="00B23307" w:rsidRPr="00A463C5" w:rsidRDefault="00B23307" w:rsidP="00606C69">
            <w:pPr>
              <w:spacing w:after="0"/>
              <w:rPr>
                <w:lang w:val="fr-FR"/>
              </w:rPr>
            </w:pPr>
            <w:r>
              <w:rPr>
                <w:lang w:val="fr-FR"/>
              </w:rPr>
              <w:t xml:space="preserve">Le postulat de la </w:t>
            </w:r>
            <w:r w:rsidRPr="00A463C5">
              <w:rPr>
                <w:lang w:val="fr-FR"/>
              </w:rPr>
              <w:t>méthode part du principe que les bénéfices sont transférés hors d'un pays</w:t>
            </w:r>
            <w:r>
              <w:rPr>
                <w:lang w:val="fr-FR"/>
              </w:rPr>
              <w:t>, é</w:t>
            </w:r>
            <w:r w:rsidRPr="00A463C5">
              <w:rPr>
                <w:lang w:val="fr-FR"/>
              </w:rPr>
              <w:t>tant étudié</w:t>
            </w:r>
            <w:r w:rsidR="00DA4BCD">
              <w:rPr>
                <w:lang w:val="fr-FR"/>
              </w:rPr>
              <w:t>e</w:t>
            </w:r>
            <w:r w:rsidRPr="00A463C5">
              <w:rPr>
                <w:lang w:val="fr-FR"/>
              </w:rPr>
              <w:t xml:space="preserve"> </w:t>
            </w:r>
            <w:r>
              <w:rPr>
                <w:lang w:val="fr-FR"/>
              </w:rPr>
              <w:t xml:space="preserve">depuis une </w:t>
            </w:r>
            <w:r w:rsidRPr="00A463C5">
              <w:rPr>
                <w:lang w:val="fr-FR"/>
              </w:rPr>
              <w:t xml:space="preserve">juridiction à forte imposition ; </w:t>
            </w:r>
            <w:r w:rsidRPr="008F4A12">
              <w:rPr>
                <w:lang w:val="fr-FR"/>
              </w:rPr>
              <w:t>elle peut potentiellement être utilisée pour les juridictions à faible taux d'imposition</w:t>
            </w:r>
            <w:r w:rsidRPr="00A463C5">
              <w:rPr>
                <w:lang w:val="fr-FR"/>
              </w:rPr>
              <w:t xml:space="preserve">, dans les deux cas, </w:t>
            </w:r>
            <w:r>
              <w:rPr>
                <w:lang w:val="fr-FR"/>
              </w:rPr>
              <w:t>elle</w:t>
            </w:r>
            <w:r w:rsidRPr="00A463C5">
              <w:rPr>
                <w:lang w:val="fr-FR"/>
              </w:rPr>
              <w:t xml:space="preserve"> ne fournira très probablement que les entrées ou les sorties de</w:t>
            </w:r>
            <w:r>
              <w:rPr>
                <w:lang w:val="fr-FR"/>
              </w:rPr>
              <w:t>s</w:t>
            </w:r>
            <w:r w:rsidRPr="00A463C5">
              <w:rPr>
                <w:lang w:val="fr-FR"/>
              </w:rPr>
              <w:t xml:space="preserve"> FFI. Avec une couverture suffisante de toutes les unités des multinationales, nationales et étrangères, on devrait obtenir des résultats simultanés </w:t>
            </w:r>
            <w:r>
              <w:rPr>
                <w:lang w:val="fr-FR"/>
              </w:rPr>
              <w:t>pour les</w:t>
            </w:r>
            <w:r w:rsidRPr="00A463C5">
              <w:rPr>
                <w:lang w:val="fr-FR"/>
              </w:rPr>
              <w:t xml:space="preserve"> deux flux</w:t>
            </w:r>
            <w:r>
              <w:rPr>
                <w:lang w:val="fr-FR"/>
              </w:rPr>
              <w:t xml:space="preserve"> de FFI</w:t>
            </w:r>
            <w:r w:rsidRPr="00A463C5">
              <w:rPr>
                <w:lang w:val="fr-FR"/>
              </w:rPr>
              <w:t xml:space="preserve">. </w:t>
            </w:r>
          </w:p>
        </w:tc>
      </w:tr>
      <w:tr w:rsidR="00B23307" w:rsidRPr="00A463C5" w14:paraId="005A0DDF" w14:textId="77777777" w:rsidTr="00606C69">
        <w:tc>
          <w:tcPr>
            <w:tcW w:w="9062" w:type="dxa"/>
            <w:gridSpan w:val="6"/>
            <w:shd w:val="clear" w:color="auto" w:fill="DEEAF6" w:themeFill="accent5" w:themeFillTint="33"/>
          </w:tcPr>
          <w:p w14:paraId="5E01A66A" w14:textId="77777777" w:rsidR="00B23307" w:rsidRPr="00EE408E" w:rsidRDefault="00B23307" w:rsidP="00606C69">
            <w:pPr>
              <w:spacing w:after="0"/>
              <w:rPr>
                <w:lang w:val="fr-FR"/>
              </w:rPr>
            </w:pPr>
            <w:r w:rsidRPr="00EE408E">
              <w:rPr>
                <w:noProof/>
                <w:lang w:val="fr-FR"/>
              </w:rPr>
              <w:drawing>
                <wp:inline distT="0" distB="0" distL="0" distR="0" wp14:anchorId="5981238B" wp14:editId="4A3D6EC7">
                  <wp:extent cx="288000" cy="288000"/>
                  <wp:effectExtent l="0" t="0" r="0" b="0"/>
                  <wp:docPr id="37" name="Graphic 37"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7"/>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8000" cy="288000"/>
                          </a:xfrm>
                          <a:prstGeom prst="rect">
                            <a:avLst/>
                          </a:prstGeom>
                        </pic:spPr>
                      </pic:pic>
                    </a:graphicData>
                  </a:graphic>
                </wp:inline>
              </w:drawing>
            </w:r>
            <w:r w:rsidRPr="00EE408E">
              <w:rPr>
                <w:b/>
                <w:bCs/>
                <w:lang w:val="fr-FR"/>
              </w:rPr>
              <w:t>Études de cas</w:t>
            </w:r>
          </w:p>
        </w:tc>
      </w:tr>
      <w:tr w:rsidR="00B23307" w:rsidRPr="004A729B" w14:paraId="7E62BF3C" w14:textId="77777777" w:rsidTr="00606C69">
        <w:tc>
          <w:tcPr>
            <w:tcW w:w="9062" w:type="dxa"/>
            <w:gridSpan w:val="6"/>
          </w:tcPr>
          <w:p w14:paraId="19D2E3EE" w14:textId="77777777" w:rsidR="00B23307" w:rsidRPr="00EE408E" w:rsidRDefault="00B23307" w:rsidP="00606C69">
            <w:pPr>
              <w:spacing w:after="0"/>
              <w:rPr>
                <w:lang w:val="fr-FR"/>
              </w:rPr>
            </w:pPr>
            <w:r w:rsidRPr="00EE408E">
              <w:rPr>
                <w:lang w:val="fr-FR"/>
              </w:rPr>
              <w:t>1. Estimation du transfert de bénéfices en Afrique du Sud à travers les déclarations fiscales des entreprises (Reynolds and Wier, 2016 ; Wier and Reynolds, 2018).</w:t>
            </w:r>
          </w:p>
          <w:p w14:paraId="4A7ED29D" w14:textId="77777777" w:rsidR="00B23307" w:rsidRPr="00EE408E" w:rsidRDefault="00B23307" w:rsidP="00606C69">
            <w:pPr>
              <w:spacing w:after="0"/>
              <w:rPr>
                <w:lang w:val="fr-FR"/>
              </w:rPr>
            </w:pPr>
            <w:r w:rsidRPr="00EE408E">
              <w:rPr>
                <w:lang w:val="fr-FR"/>
              </w:rPr>
              <w:t>2. Transfert de bénéfices en Allemagne en utilisant les données de déclaration pays par pays (Fuest et al., 2021).</w:t>
            </w:r>
          </w:p>
        </w:tc>
      </w:tr>
    </w:tbl>
    <w:p w14:paraId="2D4F49EC" w14:textId="77777777" w:rsidR="00B23307" w:rsidRPr="00A463C5" w:rsidRDefault="00B23307" w:rsidP="00B23307">
      <w:pPr>
        <w:rPr>
          <w:lang w:val="fr-FR"/>
        </w:rPr>
      </w:pPr>
    </w:p>
    <w:p w14:paraId="55D3B694" w14:textId="77777777" w:rsidR="00B23307" w:rsidRPr="00A463C5" w:rsidRDefault="00B23307" w:rsidP="00B23307">
      <w:pPr>
        <w:rPr>
          <w:lang w:val="fr-FR"/>
        </w:rPr>
      </w:pPr>
    </w:p>
    <w:p w14:paraId="36102F6C" w14:textId="77777777" w:rsidR="00B23307" w:rsidRPr="00A463C5" w:rsidRDefault="00B23307" w:rsidP="00B23307">
      <w:pPr>
        <w:rPr>
          <w:lang w:val="fr-FR"/>
        </w:rPr>
      </w:pPr>
      <w:r w:rsidRPr="00A463C5">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845"/>
      </w:tblGrid>
      <w:tr w:rsidR="00B23307" w:rsidRPr="004A729B" w14:paraId="3C9AD665" w14:textId="77777777" w:rsidTr="00606C69">
        <w:tc>
          <w:tcPr>
            <w:tcW w:w="2265" w:type="dxa"/>
            <w:tcBorders>
              <w:right w:val="nil"/>
            </w:tcBorders>
            <w:shd w:val="clear" w:color="auto" w:fill="DEEAF6" w:themeFill="accent5" w:themeFillTint="33"/>
          </w:tcPr>
          <w:p w14:paraId="25F80C0A" w14:textId="77777777" w:rsidR="00B23307" w:rsidRPr="00A463C5" w:rsidRDefault="00B23307" w:rsidP="00606C69">
            <w:pPr>
              <w:spacing w:after="0"/>
              <w:rPr>
                <w:lang w:val="fr-FR"/>
              </w:rPr>
            </w:pPr>
            <w:r w:rsidRPr="00A463C5">
              <w:rPr>
                <w:b/>
                <w:bCs/>
                <w:lang w:val="fr-FR"/>
              </w:rPr>
              <w:lastRenderedPageBreak/>
              <w:t>Fiche d'information sur la méthode</w:t>
            </w:r>
          </w:p>
        </w:tc>
        <w:tc>
          <w:tcPr>
            <w:tcW w:w="6797" w:type="dxa"/>
            <w:gridSpan w:val="5"/>
            <w:tcBorders>
              <w:left w:val="nil"/>
            </w:tcBorders>
            <w:shd w:val="clear" w:color="auto" w:fill="DEEAF6" w:themeFill="accent5" w:themeFillTint="33"/>
          </w:tcPr>
          <w:p w14:paraId="37F2B240" w14:textId="77777777" w:rsidR="00B23307" w:rsidRPr="00A463C5" w:rsidRDefault="00B23307" w:rsidP="00606C69">
            <w:pPr>
              <w:spacing w:after="0"/>
              <w:jc w:val="right"/>
              <w:rPr>
                <w:b/>
                <w:bCs/>
                <w:lang w:val="fr-FR"/>
              </w:rPr>
            </w:pPr>
            <w:r>
              <w:rPr>
                <w:b/>
                <w:bCs/>
                <w:lang w:val="fr-FR"/>
              </w:rPr>
              <w:t xml:space="preserve">       </w:t>
            </w:r>
            <w:r w:rsidRPr="00A463C5">
              <w:rPr>
                <w:b/>
                <w:bCs/>
                <w:lang w:val="fr-FR"/>
              </w:rPr>
              <w:t xml:space="preserve">DIRECTIVES MÉTHODOLOGIQUES POUR MESURER </w:t>
            </w:r>
          </w:p>
          <w:p w14:paraId="74AD1A30" w14:textId="77777777" w:rsidR="00B23307" w:rsidRPr="00A463C5" w:rsidRDefault="00B23307" w:rsidP="00606C69">
            <w:pPr>
              <w:spacing w:after="0"/>
              <w:jc w:val="right"/>
              <w:rPr>
                <w:b/>
                <w:bCs/>
                <w:lang w:val="fr-FR"/>
              </w:rPr>
            </w:pPr>
            <w:r w:rsidRPr="00A463C5">
              <w:rPr>
                <w:b/>
                <w:bCs/>
                <w:lang w:val="fr-FR"/>
              </w:rPr>
              <w:t xml:space="preserve">LES FLUX FINANCIERS ILLICITES FISCAUX ET COMMERCIAUX </w:t>
            </w:r>
          </w:p>
          <w:p w14:paraId="2FD29495" w14:textId="29D3E916" w:rsidR="00B23307" w:rsidRPr="00A463C5" w:rsidRDefault="00B23307" w:rsidP="00606C69">
            <w:pPr>
              <w:spacing w:after="0"/>
              <w:jc w:val="right"/>
              <w:rPr>
                <w:b/>
                <w:bCs/>
                <w:sz w:val="20"/>
                <w:szCs w:val="20"/>
                <w:lang w:val="fr-FR"/>
              </w:rPr>
            </w:pPr>
            <w:r w:rsidRPr="00A463C5">
              <w:rPr>
                <w:b/>
                <w:bCs/>
                <w:sz w:val="20"/>
                <w:szCs w:val="20"/>
                <w:lang w:val="fr-FR"/>
              </w:rPr>
              <w:t xml:space="preserve">Méthodes pour les </w:t>
            </w:r>
            <w:r w:rsidR="00E302C1">
              <w:rPr>
                <w:b/>
                <w:bCs/>
                <w:sz w:val="20"/>
                <w:szCs w:val="20"/>
                <w:lang w:val="fr-FR"/>
              </w:rPr>
              <w:t>tests</w:t>
            </w:r>
            <w:r w:rsidRPr="00A463C5">
              <w:rPr>
                <w:b/>
                <w:bCs/>
                <w:sz w:val="20"/>
                <w:szCs w:val="20"/>
                <w:lang w:val="fr-FR"/>
              </w:rPr>
              <w:t xml:space="preserve"> pilotes</w:t>
            </w:r>
          </w:p>
        </w:tc>
      </w:tr>
      <w:tr w:rsidR="00B23307" w:rsidRPr="004A729B" w14:paraId="63F26AD3" w14:textId="77777777" w:rsidTr="00606C69">
        <w:tc>
          <w:tcPr>
            <w:tcW w:w="2405" w:type="dxa"/>
            <w:gridSpan w:val="2"/>
            <w:shd w:val="clear" w:color="auto" w:fill="DEEAF6" w:themeFill="accent5" w:themeFillTint="33"/>
          </w:tcPr>
          <w:p w14:paraId="1B1FB85C" w14:textId="77777777" w:rsidR="00B23307" w:rsidRPr="00A463C5" w:rsidRDefault="00B23307" w:rsidP="00606C69">
            <w:pPr>
              <w:spacing w:after="0"/>
              <w:rPr>
                <w:b/>
                <w:bCs/>
                <w:lang w:val="fr-FR"/>
              </w:rPr>
            </w:pPr>
            <w:r w:rsidRPr="00A463C5">
              <w:rPr>
                <w:b/>
                <w:bCs/>
                <w:lang w:val="fr-FR"/>
              </w:rPr>
              <w:t>Titre de la méthode</w:t>
            </w:r>
          </w:p>
        </w:tc>
        <w:tc>
          <w:tcPr>
            <w:tcW w:w="6657" w:type="dxa"/>
            <w:gridSpan w:val="4"/>
          </w:tcPr>
          <w:p w14:paraId="2AF068D5" w14:textId="77777777" w:rsidR="00B23307" w:rsidRPr="00A463C5" w:rsidRDefault="00B23307" w:rsidP="00606C69">
            <w:pPr>
              <w:spacing w:after="0"/>
              <w:rPr>
                <w:lang w:val="fr-FR"/>
              </w:rPr>
            </w:pPr>
            <w:r w:rsidRPr="00A463C5">
              <w:rPr>
                <w:lang w:val="fr-FR"/>
              </w:rPr>
              <w:t xml:space="preserve">#4 Transfert de bénéfices des </w:t>
            </w:r>
            <w:r>
              <w:rPr>
                <w:lang w:val="fr-FR"/>
              </w:rPr>
              <w:t>EMN</w:t>
            </w:r>
            <w:r w:rsidRPr="00A463C5">
              <w:rPr>
                <w:lang w:val="fr-FR"/>
              </w:rPr>
              <w:t xml:space="preserve"> par rapport aux entreprises non </w:t>
            </w:r>
            <w:r>
              <w:rPr>
                <w:lang w:val="fr-FR"/>
              </w:rPr>
              <w:t>EMN</w:t>
            </w:r>
            <w:r w:rsidRPr="00A463C5">
              <w:rPr>
                <w:lang w:val="fr-FR"/>
              </w:rPr>
              <w:t xml:space="preserve"> comparables</w:t>
            </w:r>
          </w:p>
        </w:tc>
      </w:tr>
      <w:tr w:rsidR="00B23307" w:rsidRPr="00A463C5" w14:paraId="6391F09F" w14:textId="77777777" w:rsidTr="00606C69">
        <w:tc>
          <w:tcPr>
            <w:tcW w:w="2405" w:type="dxa"/>
            <w:gridSpan w:val="2"/>
            <w:shd w:val="clear" w:color="auto" w:fill="DEEAF6" w:themeFill="accent5" w:themeFillTint="33"/>
          </w:tcPr>
          <w:p w14:paraId="65F90A60" w14:textId="77777777" w:rsidR="00B23307" w:rsidRPr="00A463C5" w:rsidRDefault="00B23307" w:rsidP="00606C69">
            <w:pPr>
              <w:spacing w:after="0"/>
              <w:rPr>
                <w:b/>
                <w:bCs/>
                <w:lang w:val="fr-FR"/>
              </w:rPr>
            </w:pPr>
            <w:r w:rsidRPr="00A463C5">
              <w:rPr>
                <w:b/>
                <w:bCs/>
                <w:lang w:val="fr-FR"/>
              </w:rPr>
              <w:t>Titre(s) alternatif(s)</w:t>
            </w:r>
          </w:p>
        </w:tc>
        <w:tc>
          <w:tcPr>
            <w:tcW w:w="6657" w:type="dxa"/>
            <w:gridSpan w:val="4"/>
          </w:tcPr>
          <w:p w14:paraId="1E0FEA08" w14:textId="77777777" w:rsidR="00B23307" w:rsidRPr="00A463C5" w:rsidRDefault="00B23307" w:rsidP="00606C69">
            <w:pPr>
              <w:spacing w:after="0"/>
              <w:rPr>
                <w:lang w:val="fr-FR"/>
              </w:rPr>
            </w:pPr>
          </w:p>
        </w:tc>
      </w:tr>
      <w:tr w:rsidR="00B23307" w:rsidRPr="004A729B" w14:paraId="5123CBE5" w14:textId="77777777" w:rsidTr="00606C69">
        <w:tc>
          <w:tcPr>
            <w:tcW w:w="2405" w:type="dxa"/>
            <w:gridSpan w:val="2"/>
            <w:shd w:val="clear" w:color="auto" w:fill="DEEAF6" w:themeFill="accent5" w:themeFillTint="33"/>
          </w:tcPr>
          <w:p w14:paraId="70C8FB0B" w14:textId="77777777" w:rsidR="00B23307" w:rsidRPr="00A463C5" w:rsidRDefault="00B23307" w:rsidP="00606C69">
            <w:pPr>
              <w:spacing w:after="0"/>
              <w:rPr>
                <w:b/>
                <w:bCs/>
                <w:lang w:val="fr-FR"/>
              </w:rPr>
            </w:pPr>
            <w:r w:rsidRPr="00A463C5">
              <w:rPr>
                <w:b/>
                <w:bCs/>
                <w:lang w:val="fr-FR"/>
              </w:rPr>
              <w:t>Groupe de méthodes</w:t>
            </w:r>
          </w:p>
        </w:tc>
        <w:tc>
          <w:tcPr>
            <w:tcW w:w="6657" w:type="dxa"/>
            <w:gridSpan w:val="4"/>
          </w:tcPr>
          <w:p w14:paraId="6953DBCA" w14:textId="4C9EF3FB" w:rsidR="00B23307" w:rsidRPr="00A463C5" w:rsidRDefault="00B23307" w:rsidP="00606C69">
            <w:pPr>
              <w:spacing w:after="0"/>
              <w:rPr>
                <w:lang w:val="fr-FR"/>
              </w:rPr>
            </w:pPr>
            <w:r w:rsidRPr="00A463C5">
              <w:rPr>
                <w:lang w:val="fr-FR"/>
              </w:rPr>
              <w:t>L'é</w:t>
            </w:r>
            <w:r>
              <w:rPr>
                <w:lang w:val="fr-FR"/>
              </w:rPr>
              <w:t>v</w:t>
            </w:r>
            <w:r w:rsidR="000F515C">
              <w:rPr>
                <w:lang w:val="fr-FR"/>
              </w:rPr>
              <w:t>itement</w:t>
            </w:r>
            <w:r w:rsidRPr="00A463C5">
              <w:rPr>
                <w:lang w:val="fr-FR"/>
              </w:rPr>
              <w:t xml:space="preserve"> fiscal international par les </w:t>
            </w:r>
            <w:r>
              <w:rPr>
                <w:lang w:val="fr-FR"/>
              </w:rPr>
              <w:t>EMN</w:t>
            </w:r>
          </w:p>
        </w:tc>
      </w:tr>
      <w:tr w:rsidR="00B23307" w:rsidRPr="00A463C5" w14:paraId="11439ABA" w14:textId="77777777" w:rsidTr="00606C69">
        <w:tc>
          <w:tcPr>
            <w:tcW w:w="2405" w:type="dxa"/>
            <w:gridSpan w:val="2"/>
            <w:shd w:val="clear" w:color="auto" w:fill="DEEAF6" w:themeFill="accent5" w:themeFillTint="33"/>
          </w:tcPr>
          <w:p w14:paraId="6551DF2A" w14:textId="77777777" w:rsidR="00B23307" w:rsidRPr="00A463C5" w:rsidRDefault="00B23307" w:rsidP="00606C69">
            <w:pPr>
              <w:spacing w:after="0"/>
              <w:rPr>
                <w:b/>
                <w:bCs/>
                <w:lang w:val="fr-FR"/>
              </w:rPr>
            </w:pPr>
            <w:r w:rsidRPr="00A463C5">
              <w:rPr>
                <w:b/>
                <w:bCs/>
                <w:lang w:val="fr-FR"/>
              </w:rPr>
              <w:t xml:space="preserve">Type de flux </w:t>
            </w:r>
            <w:r>
              <w:rPr>
                <w:b/>
                <w:bCs/>
                <w:lang w:val="fr-FR"/>
              </w:rPr>
              <w:t>FFI</w:t>
            </w:r>
            <w:r w:rsidRPr="00A463C5">
              <w:rPr>
                <w:b/>
                <w:bCs/>
                <w:lang w:val="fr-FR"/>
              </w:rPr>
              <w:t xml:space="preserve"> ciblés</w:t>
            </w:r>
          </w:p>
        </w:tc>
        <w:tc>
          <w:tcPr>
            <w:tcW w:w="3827" w:type="dxa"/>
            <w:gridSpan w:val="2"/>
          </w:tcPr>
          <w:p w14:paraId="10EB3955" w14:textId="7DCDCB27" w:rsidR="00B23307" w:rsidRPr="00A463C5" w:rsidRDefault="00B23307" w:rsidP="00606C69">
            <w:pPr>
              <w:spacing w:after="0"/>
              <w:rPr>
                <w:lang w:val="fr-FR"/>
              </w:rPr>
            </w:pPr>
            <w:r w:rsidRPr="00A463C5">
              <w:rPr>
                <w:lang w:val="fr-FR"/>
              </w:rPr>
              <w:t xml:space="preserve">F3-F5 </w:t>
            </w:r>
            <w:r w:rsidR="0042157B">
              <w:rPr>
                <w:lang w:val="fr-FR"/>
              </w:rPr>
              <w:t>Evitement fiscal agressif ou t</w:t>
            </w:r>
            <w:r w:rsidR="0042157B" w:rsidRPr="00A463C5">
              <w:rPr>
                <w:lang w:val="fr-FR"/>
              </w:rPr>
              <w:t>ransfert de bénéfices</w:t>
            </w:r>
            <w:r w:rsidR="0042157B">
              <w:rPr>
                <w:lang w:val="fr-FR"/>
              </w:rPr>
              <w:t xml:space="preserve"> par les EMN</w:t>
            </w:r>
          </w:p>
        </w:tc>
        <w:tc>
          <w:tcPr>
            <w:tcW w:w="1985" w:type="dxa"/>
            <w:shd w:val="clear" w:color="auto" w:fill="DEEAF6" w:themeFill="accent5" w:themeFillTint="33"/>
          </w:tcPr>
          <w:p w14:paraId="2B033B03" w14:textId="77777777" w:rsidR="00B23307" w:rsidRPr="00A463C5" w:rsidRDefault="00B23307" w:rsidP="00606C69">
            <w:pPr>
              <w:spacing w:after="0"/>
              <w:rPr>
                <w:b/>
                <w:bCs/>
                <w:lang w:val="fr-FR"/>
              </w:rPr>
            </w:pPr>
            <w:r w:rsidRPr="00A463C5">
              <w:rPr>
                <w:b/>
                <w:bCs/>
                <w:lang w:val="fr-FR"/>
              </w:rPr>
              <w:t>Classification par niveau</w:t>
            </w:r>
          </w:p>
        </w:tc>
        <w:tc>
          <w:tcPr>
            <w:tcW w:w="845" w:type="dxa"/>
          </w:tcPr>
          <w:p w14:paraId="35FBA05B" w14:textId="77777777" w:rsidR="00B23307" w:rsidRPr="00A463C5" w:rsidRDefault="00B23307" w:rsidP="00606C69">
            <w:pPr>
              <w:spacing w:after="0"/>
              <w:rPr>
                <w:lang w:val="fr-FR"/>
              </w:rPr>
            </w:pPr>
            <w:r w:rsidRPr="00A463C5">
              <w:rPr>
                <w:lang w:val="fr-FR"/>
              </w:rPr>
              <w:t>Niveau 1</w:t>
            </w:r>
          </w:p>
        </w:tc>
      </w:tr>
      <w:tr w:rsidR="00B23307" w:rsidRPr="00A463C5" w14:paraId="5E608CA1" w14:textId="77777777" w:rsidTr="00606C69">
        <w:tc>
          <w:tcPr>
            <w:tcW w:w="9062" w:type="dxa"/>
            <w:gridSpan w:val="6"/>
            <w:shd w:val="clear" w:color="auto" w:fill="DEEAF6" w:themeFill="accent5" w:themeFillTint="33"/>
          </w:tcPr>
          <w:p w14:paraId="699398FA" w14:textId="77777777" w:rsidR="00B23307" w:rsidRPr="00A463C5" w:rsidRDefault="00B23307" w:rsidP="00606C69">
            <w:pPr>
              <w:spacing w:after="0"/>
              <w:rPr>
                <w:lang w:val="fr-FR"/>
              </w:rPr>
            </w:pPr>
            <w:r w:rsidRPr="00A463C5">
              <w:rPr>
                <w:noProof/>
                <w:lang w:val="fr-FR"/>
              </w:rPr>
              <w:drawing>
                <wp:inline distT="0" distB="0" distL="0" distR="0" wp14:anchorId="31CF959F" wp14:editId="03ABB9A0">
                  <wp:extent cx="288000" cy="288000"/>
                  <wp:effectExtent l="0" t="0" r="0" b="0"/>
                  <wp:docPr id="38" name="Graphic 38"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Concept </w:t>
            </w:r>
          </w:p>
        </w:tc>
      </w:tr>
      <w:tr w:rsidR="00B23307" w:rsidRPr="004A729B" w14:paraId="4C2F8AC5" w14:textId="77777777" w:rsidTr="00606C69">
        <w:tc>
          <w:tcPr>
            <w:tcW w:w="9062" w:type="dxa"/>
            <w:gridSpan w:val="6"/>
          </w:tcPr>
          <w:p w14:paraId="38FFE636" w14:textId="77777777" w:rsidR="00B23307" w:rsidRPr="00A463C5" w:rsidRDefault="00B23307" w:rsidP="00606C69">
            <w:pPr>
              <w:spacing w:after="0"/>
              <w:rPr>
                <w:lang w:val="fr-FR"/>
              </w:rPr>
            </w:pPr>
            <w:r w:rsidRPr="00E21723">
              <w:rPr>
                <w:lang w:val="fr-FR"/>
              </w:rPr>
              <w:t xml:space="preserve">La méthode identifie les </w:t>
            </w:r>
            <w:r>
              <w:rPr>
                <w:lang w:val="fr-FR"/>
              </w:rPr>
              <w:t>EMN</w:t>
            </w:r>
            <w:r w:rsidRPr="00E21723">
              <w:rPr>
                <w:lang w:val="fr-FR"/>
              </w:rPr>
              <w:t xml:space="preserve"> qui évitent l'impôt en les comparant à la fois entre</w:t>
            </w:r>
            <w:r>
              <w:rPr>
                <w:lang w:val="fr-FR"/>
              </w:rPr>
              <w:t xml:space="preserve"> </w:t>
            </w:r>
            <w:r w:rsidRPr="00E21723">
              <w:rPr>
                <w:lang w:val="fr-FR"/>
              </w:rPr>
              <w:t>(</w:t>
            </w:r>
            <w:r>
              <w:rPr>
                <w:lang w:val="fr-FR"/>
              </w:rPr>
              <w:t>EMN</w:t>
            </w:r>
            <w:r w:rsidRPr="00E21723">
              <w:rPr>
                <w:lang w:val="fr-FR"/>
              </w:rPr>
              <w:t xml:space="preserve"> par rapport à des non</w:t>
            </w:r>
            <w:r>
              <w:rPr>
                <w:lang w:val="fr-FR"/>
              </w:rPr>
              <w:t xml:space="preserve"> EMN </w:t>
            </w:r>
            <w:r w:rsidRPr="00E21723">
              <w:rPr>
                <w:lang w:val="fr-FR"/>
              </w:rPr>
              <w:t xml:space="preserve">comparables) et </w:t>
            </w:r>
            <w:r>
              <w:rPr>
                <w:lang w:val="fr-FR"/>
              </w:rPr>
              <w:t>entre elles</w:t>
            </w:r>
            <w:r w:rsidRPr="00E21723">
              <w:rPr>
                <w:lang w:val="fr-FR"/>
              </w:rPr>
              <w:t xml:space="preserve"> (</w:t>
            </w:r>
            <w:r>
              <w:rPr>
                <w:lang w:val="fr-FR"/>
              </w:rPr>
              <w:t>EMN</w:t>
            </w:r>
            <w:r w:rsidRPr="00E21723">
              <w:rPr>
                <w:lang w:val="fr-FR"/>
              </w:rPr>
              <w:t xml:space="preserve"> qui évitent l'impôt par rapport à celles qui ne l'évitent pas) et mesure le montant de BEPS correspondant.</w:t>
            </w:r>
          </w:p>
        </w:tc>
      </w:tr>
      <w:tr w:rsidR="00B23307" w:rsidRPr="00A463C5" w14:paraId="250C763B" w14:textId="77777777" w:rsidTr="00606C69">
        <w:tc>
          <w:tcPr>
            <w:tcW w:w="9062" w:type="dxa"/>
            <w:gridSpan w:val="6"/>
            <w:shd w:val="clear" w:color="auto" w:fill="DEEAF6" w:themeFill="accent5" w:themeFillTint="33"/>
          </w:tcPr>
          <w:p w14:paraId="56EB89A5" w14:textId="77777777" w:rsidR="00B23307" w:rsidRPr="00A463C5" w:rsidRDefault="00B23307" w:rsidP="00606C69">
            <w:pPr>
              <w:spacing w:after="0"/>
              <w:rPr>
                <w:lang w:val="fr-FR"/>
              </w:rPr>
            </w:pPr>
            <w:r w:rsidRPr="00A463C5">
              <w:rPr>
                <w:noProof/>
                <w:lang w:val="fr-FR"/>
              </w:rPr>
              <w:drawing>
                <wp:inline distT="0" distB="0" distL="0" distR="0" wp14:anchorId="6DFCDFD3" wp14:editId="1923A468">
                  <wp:extent cx="288000" cy="288000"/>
                  <wp:effectExtent l="0" t="0" r="0" b="0"/>
                  <wp:docPr id="39" name="Graphic 39"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9"/>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r w:rsidRPr="00A463C5">
              <w:rPr>
                <w:b/>
                <w:bCs/>
                <w:lang w:val="fr-FR"/>
              </w:rPr>
              <w:t>Hypothèses</w:t>
            </w:r>
          </w:p>
        </w:tc>
      </w:tr>
      <w:tr w:rsidR="00B23307" w:rsidRPr="004A729B" w14:paraId="51C65731" w14:textId="77777777" w:rsidTr="00606C69">
        <w:tc>
          <w:tcPr>
            <w:tcW w:w="9062" w:type="dxa"/>
            <w:gridSpan w:val="6"/>
          </w:tcPr>
          <w:p w14:paraId="6A206F80" w14:textId="77777777" w:rsidR="00B23307" w:rsidRPr="00A463C5" w:rsidRDefault="00B23307" w:rsidP="00606C69">
            <w:pPr>
              <w:spacing w:after="0"/>
              <w:rPr>
                <w:lang w:val="fr-FR"/>
              </w:rPr>
            </w:pPr>
            <w:r w:rsidRPr="00A463C5">
              <w:rPr>
                <w:lang w:val="fr-FR"/>
              </w:rPr>
              <w:t>1. Les d</w:t>
            </w:r>
            <w:r>
              <w:rPr>
                <w:lang w:val="fr-FR"/>
              </w:rPr>
              <w:t>iff</w:t>
            </w:r>
            <w:r w:rsidRPr="00A463C5">
              <w:rPr>
                <w:lang w:val="fr-FR"/>
              </w:rPr>
              <w:t xml:space="preserve">érences identifiées entre les </w:t>
            </w:r>
            <w:r>
              <w:rPr>
                <w:lang w:val="fr-FR"/>
              </w:rPr>
              <w:t>EMN</w:t>
            </w:r>
            <w:r w:rsidRPr="00A463C5">
              <w:rPr>
                <w:lang w:val="fr-FR"/>
              </w:rPr>
              <w:t xml:space="preserve"> et les entités nationales ne sont pas dues à d'autres facteurs (par exemple, la productivité, les économies d'échelle).</w:t>
            </w:r>
          </w:p>
          <w:p w14:paraId="796278EF" w14:textId="77777777" w:rsidR="00B23307" w:rsidRPr="00A463C5" w:rsidRDefault="00B23307" w:rsidP="00606C69">
            <w:pPr>
              <w:spacing w:after="0"/>
              <w:rPr>
                <w:lang w:val="fr-FR"/>
              </w:rPr>
            </w:pPr>
            <w:r w:rsidRPr="00A463C5">
              <w:rPr>
                <w:lang w:val="fr-FR"/>
              </w:rPr>
              <w:t xml:space="preserve">2. La taille de l'entité et le secteur d'activité dans lequel elle opère sont des indicateurs absolus suffisants pour assurer une comparaison correcte d'une </w:t>
            </w:r>
            <w:r>
              <w:rPr>
                <w:lang w:val="fr-FR"/>
              </w:rPr>
              <w:t>EMN</w:t>
            </w:r>
            <w:r w:rsidRPr="00A463C5">
              <w:rPr>
                <w:lang w:val="fr-FR"/>
              </w:rPr>
              <w:t xml:space="preserve"> au groupe de contrôle. </w:t>
            </w:r>
          </w:p>
        </w:tc>
      </w:tr>
      <w:tr w:rsidR="00B23307" w:rsidRPr="00A463C5" w14:paraId="33339A5F" w14:textId="77777777" w:rsidTr="00606C69">
        <w:tc>
          <w:tcPr>
            <w:tcW w:w="4530" w:type="dxa"/>
            <w:gridSpan w:val="3"/>
            <w:shd w:val="clear" w:color="auto" w:fill="DEEAF6" w:themeFill="accent5" w:themeFillTint="33"/>
          </w:tcPr>
          <w:p w14:paraId="410BE212" w14:textId="77777777" w:rsidR="00B23307" w:rsidRPr="00A463C5" w:rsidRDefault="00B23307" w:rsidP="00606C69">
            <w:pPr>
              <w:spacing w:after="0"/>
              <w:rPr>
                <w:lang w:val="fr-FR"/>
              </w:rPr>
            </w:pPr>
            <w:r w:rsidRPr="00A463C5">
              <w:rPr>
                <w:noProof/>
                <w:lang w:val="fr-FR"/>
              </w:rPr>
              <w:drawing>
                <wp:inline distT="0" distB="0" distL="0" distR="0" wp14:anchorId="0766DBE9" wp14:editId="100F40FB">
                  <wp:extent cx="288000" cy="288000"/>
                  <wp:effectExtent l="0" t="0" r="0" b="0"/>
                  <wp:docPr id="40" name="Graphic 40"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0"/>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Points forts </w:t>
            </w:r>
          </w:p>
        </w:tc>
        <w:tc>
          <w:tcPr>
            <w:tcW w:w="4532" w:type="dxa"/>
            <w:gridSpan w:val="3"/>
            <w:shd w:val="clear" w:color="auto" w:fill="DEEAF6" w:themeFill="accent5" w:themeFillTint="33"/>
          </w:tcPr>
          <w:p w14:paraId="7FEC9C42" w14:textId="77777777" w:rsidR="00B23307" w:rsidRPr="00A463C5" w:rsidRDefault="00B23307" w:rsidP="00606C69">
            <w:pPr>
              <w:spacing w:after="0"/>
              <w:rPr>
                <w:lang w:val="fr-FR"/>
              </w:rPr>
            </w:pPr>
            <w:r w:rsidRPr="00A463C5">
              <w:rPr>
                <w:noProof/>
                <w:lang w:val="fr-FR"/>
              </w:rPr>
              <w:drawing>
                <wp:inline distT="0" distB="0" distL="0" distR="0" wp14:anchorId="343C8DAA" wp14:editId="12137A3E">
                  <wp:extent cx="288000" cy="288000"/>
                  <wp:effectExtent l="0" t="0" r="0" b="0"/>
                  <wp:docPr id="41" name="Graphic 41"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r w:rsidRPr="00A463C5">
              <w:rPr>
                <w:b/>
                <w:bCs/>
                <w:lang w:val="fr-FR"/>
              </w:rPr>
              <w:t>Limitations</w:t>
            </w:r>
          </w:p>
        </w:tc>
      </w:tr>
      <w:tr w:rsidR="00B23307" w:rsidRPr="004A729B" w14:paraId="4711D0E0" w14:textId="77777777" w:rsidTr="00606C69">
        <w:tc>
          <w:tcPr>
            <w:tcW w:w="4530" w:type="dxa"/>
            <w:gridSpan w:val="3"/>
          </w:tcPr>
          <w:p w14:paraId="5DB5F4DE" w14:textId="77777777" w:rsidR="00B23307" w:rsidRPr="00A463C5" w:rsidRDefault="00B23307" w:rsidP="00606C69">
            <w:pPr>
              <w:spacing w:after="0"/>
              <w:rPr>
                <w:lang w:val="fr-FR"/>
              </w:rPr>
            </w:pPr>
            <w:r w:rsidRPr="00A463C5">
              <w:rPr>
                <w:lang w:val="fr-FR"/>
              </w:rPr>
              <w:t xml:space="preserve">1. </w:t>
            </w:r>
            <w:r w:rsidRPr="00A04BA3">
              <w:rPr>
                <w:lang w:val="fr-FR"/>
              </w:rPr>
              <w:t>Microdonnées</w:t>
            </w:r>
            <w:r w:rsidRPr="00A463C5">
              <w:rPr>
                <w:lang w:val="fr-FR"/>
              </w:rPr>
              <w:t xml:space="preserve"> au niveau des entreprises.</w:t>
            </w:r>
          </w:p>
          <w:p w14:paraId="287FD7FE" w14:textId="2C3D429B" w:rsidR="00B23307" w:rsidRPr="00A463C5" w:rsidRDefault="00B23307" w:rsidP="00606C69">
            <w:pPr>
              <w:spacing w:after="0"/>
              <w:rPr>
                <w:lang w:val="fr-FR"/>
              </w:rPr>
            </w:pPr>
            <w:r w:rsidRPr="00A463C5">
              <w:rPr>
                <w:lang w:val="fr-FR"/>
              </w:rPr>
              <w:t xml:space="preserve">2. </w:t>
            </w:r>
            <w:r w:rsidRPr="00A43A57">
              <w:rPr>
                <w:lang w:val="fr-FR"/>
              </w:rPr>
              <w:t xml:space="preserve">Elle ne traite pas toutes les </w:t>
            </w:r>
            <w:r>
              <w:rPr>
                <w:lang w:val="fr-FR"/>
              </w:rPr>
              <w:t>EMN</w:t>
            </w:r>
            <w:r w:rsidRPr="00A43A57">
              <w:rPr>
                <w:lang w:val="fr-FR"/>
              </w:rPr>
              <w:t xml:space="preserve"> de la même manière, dans le sens où toutes </w:t>
            </w:r>
            <w:r>
              <w:rPr>
                <w:lang w:val="fr-FR"/>
              </w:rPr>
              <w:t xml:space="preserve">ne </w:t>
            </w:r>
            <w:r w:rsidRPr="00A43A57">
              <w:rPr>
                <w:lang w:val="fr-FR"/>
              </w:rPr>
              <w:t xml:space="preserve">pratiquent </w:t>
            </w:r>
            <w:r>
              <w:rPr>
                <w:lang w:val="fr-FR"/>
              </w:rPr>
              <w:t xml:space="preserve">pas </w:t>
            </w:r>
            <w:r w:rsidRPr="00A43A57">
              <w:rPr>
                <w:lang w:val="fr-FR"/>
              </w:rPr>
              <w:t>l'év</w:t>
            </w:r>
            <w:r w:rsidR="009A0E11">
              <w:rPr>
                <w:lang w:val="fr-FR"/>
              </w:rPr>
              <w:t>itement</w:t>
            </w:r>
            <w:r w:rsidRPr="00A43A57">
              <w:rPr>
                <w:lang w:val="fr-FR"/>
              </w:rPr>
              <w:t xml:space="preserve"> fiscal</w:t>
            </w:r>
            <w:r w:rsidRPr="00A463C5">
              <w:rPr>
                <w:lang w:val="fr-FR"/>
              </w:rPr>
              <w:t xml:space="preserve">. </w:t>
            </w:r>
          </w:p>
          <w:p w14:paraId="4B8E01F7" w14:textId="77777777" w:rsidR="00B23307" w:rsidRPr="00A463C5" w:rsidRDefault="00B23307" w:rsidP="00606C69">
            <w:pPr>
              <w:spacing w:after="0"/>
              <w:rPr>
                <w:lang w:val="fr-FR"/>
              </w:rPr>
            </w:pPr>
            <w:r w:rsidRPr="00A463C5">
              <w:rPr>
                <w:lang w:val="fr-FR"/>
              </w:rPr>
              <w:t>3. Un concept clair.</w:t>
            </w:r>
          </w:p>
        </w:tc>
        <w:tc>
          <w:tcPr>
            <w:tcW w:w="4532" w:type="dxa"/>
            <w:gridSpan w:val="3"/>
          </w:tcPr>
          <w:p w14:paraId="21EE40A4" w14:textId="77777777" w:rsidR="00B23307" w:rsidRPr="00A463C5" w:rsidRDefault="00B23307" w:rsidP="00606C69">
            <w:pPr>
              <w:spacing w:after="0"/>
              <w:rPr>
                <w:lang w:val="fr-FR"/>
              </w:rPr>
            </w:pPr>
            <w:r w:rsidRPr="00A463C5">
              <w:rPr>
                <w:lang w:val="fr-FR"/>
              </w:rPr>
              <w:t>1. Ne distingue pas l'évitement fiscal agressif des flux globaux de transfert de bénéfices.</w:t>
            </w:r>
          </w:p>
          <w:p w14:paraId="4C329A3C" w14:textId="77777777" w:rsidR="00B23307" w:rsidRPr="00A463C5" w:rsidRDefault="00B23307" w:rsidP="00606C69">
            <w:pPr>
              <w:spacing w:after="0"/>
              <w:rPr>
                <w:lang w:val="fr-FR"/>
              </w:rPr>
            </w:pPr>
            <w:r w:rsidRPr="00A463C5">
              <w:rPr>
                <w:lang w:val="fr-FR"/>
              </w:rPr>
              <w:t>2. Problèmes pour trouver un groupe témoin d'entreprises nationales dans les petites économies.</w:t>
            </w:r>
          </w:p>
          <w:p w14:paraId="4C53D4A6" w14:textId="77777777" w:rsidR="00B23307" w:rsidRPr="00A463C5" w:rsidRDefault="00B23307" w:rsidP="00606C69">
            <w:pPr>
              <w:spacing w:after="0"/>
              <w:rPr>
                <w:lang w:val="fr-FR"/>
              </w:rPr>
            </w:pPr>
            <w:r w:rsidRPr="00A463C5">
              <w:rPr>
                <w:lang w:val="fr-FR"/>
              </w:rPr>
              <w:t xml:space="preserve">3. Un pays est défini soit comme </w:t>
            </w:r>
            <w:r>
              <w:rPr>
                <w:lang w:val="fr-FR"/>
              </w:rPr>
              <w:t xml:space="preserve">flux </w:t>
            </w:r>
            <w:r w:rsidRPr="00A463C5">
              <w:rPr>
                <w:lang w:val="fr-FR"/>
              </w:rPr>
              <w:t xml:space="preserve">entrant, </w:t>
            </w:r>
            <w:r>
              <w:rPr>
                <w:lang w:val="fr-FR"/>
              </w:rPr>
              <w:t>ou</w:t>
            </w:r>
            <w:r w:rsidRPr="00A463C5">
              <w:rPr>
                <w:lang w:val="fr-FR"/>
              </w:rPr>
              <w:t xml:space="preserve"> sortant des </w:t>
            </w:r>
            <w:r>
              <w:rPr>
                <w:lang w:val="fr-FR"/>
              </w:rPr>
              <w:t>FFI</w:t>
            </w:r>
            <w:r w:rsidRPr="00A463C5">
              <w:rPr>
                <w:lang w:val="fr-FR"/>
              </w:rPr>
              <w:t xml:space="preserve"> et ne peut avoir les deux flux identifiés (ni mesurés). </w:t>
            </w:r>
          </w:p>
        </w:tc>
      </w:tr>
      <w:tr w:rsidR="00B23307" w:rsidRPr="00A463C5" w14:paraId="43182D04" w14:textId="77777777" w:rsidTr="00606C69">
        <w:tc>
          <w:tcPr>
            <w:tcW w:w="4530" w:type="dxa"/>
            <w:gridSpan w:val="3"/>
            <w:shd w:val="clear" w:color="auto" w:fill="DEEAF6" w:themeFill="accent5" w:themeFillTint="33"/>
          </w:tcPr>
          <w:p w14:paraId="118702C9" w14:textId="77777777" w:rsidR="00B23307" w:rsidRPr="00A463C5" w:rsidRDefault="00B23307" w:rsidP="00606C69">
            <w:pPr>
              <w:spacing w:after="0"/>
              <w:rPr>
                <w:lang w:val="fr-FR"/>
              </w:rPr>
            </w:pPr>
            <w:r w:rsidRPr="00A463C5">
              <w:rPr>
                <w:noProof/>
                <w:lang w:val="fr-FR"/>
              </w:rPr>
              <w:drawing>
                <wp:inline distT="0" distB="0" distL="0" distR="0" wp14:anchorId="10455AF1" wp14:editId="4FBE8ECA">
                  <wp:extent cx="288000" cy="288000"/>
                  <wp:effectExtent l="0" t="0" r="0" b="0"/>
                  <wp:docPr id="42" name="Graphic 42"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r w:rsidRPr="00A463C5">
              <w:rPr>
                <w:b/>
                <w:bCs/>
                <w:lang w:val="fr-FR"/>
              </w:rPr>
              <w:t>Sources de données</w:t>
            </w:r>
          </w:p>
        </w:tc>
        <w:tc>
          <w:tcPr>
            <w:tcW w:w="4532" w:type="dxa"/>
            <w:gridSpan w:val="3"/>
            <w:shd w:val="clear" w:color="auto" w:fill="DEEAF6" w:themeFill="accent5" w:themeFillTint="33"/>
          </w:tcPr>
          <w:p w14:paraId="03829198" w14:textId="77777777" w:rsidR="00B23307" w:rsidRPr="00A463C5" w:rsidRDefault="00B23307" w:rsidP="00606C69">
            <w:pPr>
              <w:spacing w:after="0"/>
              <w:rPr>
                <w:lang w:val="fr-FR"/>
              </w:rPr>
            </w:pPr>
            <w:r w:rsidRPr="00A463C5">
              <w:rPr>
                <w:noProof/>
                <w:lang w:val="fr-FR"/>
              </w:rPr>
              <w:drawing>
                <wp:inline distT="0" distB="0" distL="0" distR="0" wp14:anchorId="5C78C0E9" wp14:editId="1F8D8935">
                  <wp:extent cx="288000" cy="288000"/>
                  <wp:effectExtent l="0" t="0" r="0" b="0"/>
                  <wp:docPr id="220" name="Graphic 220"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0"/>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Atténuation des limitations </w:t>
            </w:r>
          </w:p>
        </w:tc>
      </w:tr>
      <w:tr w:rsidR="00B23307" w:rsidRPr="004A729B" w14:paraId="13419143" w14:textId="77777777" w:rsidTr="00606C69">
        <w:tc>
          <w:tcPr>
            <w:tcW w:w="4530" w:type="dxa"/>
            <w:gridSpan w:val="3"/>
          </w:tcPr>
          <w:p w14:paraId="1183C028" w14:textId="77777777" w:rsidR="00B23307" w:rsidRPr="00A463C5" w:rsidRDefault="00B23307" w:rsidP="00606C69">
            <w:pPr>
              <w:spacing w:after="0"/>
              <w:rPr>
                <w:lang w:val="fr-FR"/>
              </w:rPr>
            </w:pPr>
            <w:r w:rsidRPr="00A463C5">
              <w:rPr>
                <w:lang w:val="fr-FR"/>
              </w:rPr>
              <w:t xml:space="preserve">Microdonnées au niveau des entreprises provenant de : </w:t>
            </w:r>
          </w:p>
          <w:p w14:paraId="066F7FDF" w14:textId="77777777" w:rsidR="00B23307" w:rsidRPr="00A463C5" w:rsidRDefault="00B23307" w:rsidP="00606C69">
            <w:pPr>
              <w:spacing w:after="0"/>
              <w:rPr>
                <w:lang w:val="fr-FR"/>
              </w:rPr>
            </w:pPr>
            <w:r w:rsidRPr="00A463C5">
              <w:rPr>
                <w:lang w:val="fr-FR"/>
              </w:rPr>
              <w:t xml:space="preserve">1. </w:t>
            </w:r>
            <w:r>
              <w:rPr>
                <w:lang w:val="fr-FR"/>
              </w:rPr>
              <w:t>S</w:t>
            </w:r>
            <w:r w:rsidRPr="00A463C5">
              <w:rPr>
                <w:lang w:val="fr-FR"/>
              </w:rPr>
              <w:t>tatistiques structurelles des entreprises,</w:t>
            </w:r>
          </w:p>
          <w:p w14:paraId="7E895078" w14:textId="77777777" w:rsidR="00B23307" w:rsidRPr="00A463C5" w:rsidRDefault="00B23307" w:rsidP="00606C69">
            <w:pPr>
              <w:spacing w:after="0"/>
              <w:rPr>
                <w:lang w:val="fr-FR"/>
              </w:rPr>
            </w:pPr>
            <w:r w:rsidRPr="00A463C5">
              <w:rPr>
                <w:lang w:val="fr-FR"/>
              </w:rPr>
              <w:t>2. Statistiques du commerce international,</w:t>
            </w:r>
          </w:p>
          <w:p w14:paraId="74E11037" w14:textId="77777777" w:rsidR="00B23307" w:rsidRPr="00A463C5" w:rsidRDefault="00B23307" w:rsidP="00606C69">
            <w:pPr>
              <w:spacing w:after="0"/>
              <w:rPr>
                <w:lang w:val="fr-FR"/>
              </w:rPr>
            </w:pPr>
            <w:r w:rsidRPr="00A463C5">
              <w:rPr>
                <w:lang w:val="fr-FR"/>
              </w:rPr>
              <w:t xml:space="preserve">3. Position des entreprises nationales au sein des </w:t>
            </w:r>
            <w:r>
              <w:rPr>
                <w:lang w:val="fr-FR"/>
              </w:rPr>
              <w:t xml:space="preserve">multinationales </w:t>
            </w:r>
            <w:r w:rsidRPr="00A463C5">
              <w:rPr>
                <w:lang w:val="fr-FR"/>
              </w:rPr>
              <w:t>(registre des groupes nationaux ou régionaux).</w:t>
            </w:r>
          </w:p>
          <w:p w14:paraId="7937FB4C" w14:textId="77777777" w:rsidR="00B23307" w:rsidRPr="00A463C5" w:rsidRDefault="00B23307" w:rsidP="00606C69">
            <w:pPr>
              <w:spacing w:after="0"/>
              <w:rPr>
                <w:lang w:val="fr-FR"/>
              </w:rPr>
            </w:pPr>
            <w:r w:rsidRPr="00A463C5">
              <w:rPr>
                <w:lang w:val="fr-FR"/>
              </w:rPr>
              <w:t xml:space="preserve">4. </w:t>
            </w:r>
            <w:r>
              <w:rPr>
                <w:lang w:val="fr-FR"/>
              </w:rPr>
              <w:t>Statistiques sur les filiales étrangères (FATS).</w:t>
            </w:r>
          </w:p>
          <w:p w14:paraId="73B09369" w14:textId="77777777" w:rsidR="00B23307" w:rsidRPr="00A463C5" w:rsidRDefault="00B23307" w:rsidP="00606C69">
            <w:pPr>
              <w:spacing w:after="0"/>
              <w:rPr>
                <w:lang w:val="fr-FR"/>
              </w:rPr>
            </w:pPr>
            <w:r w:rsidRPr="00A463C5">
              <w:rPr>
                <w:lang w:val="fr-FR"/>
              </w:rPr>
              <w:t xml:space="preserve">5. </w:t>
            </w:r>
            <w:r>
              <w:rPr>
                <w:lang w:val="fr-FR"/>
              </w:rPr>
              <w:t>Unité des grandes affaires (</w:t>
            </w:r>
            <w:r w:rsidRPr="00A463C5">
              <w:rPr>
                <w:lang w:val="fr-FR"/>
              </w:rPr>
              <w:t>LCU</w:t>
            </w:r>
            <w:r>
              <w:rPr>
                <w:lang w:val="fr-FR"/>
              </w:rPr>
              <w:t>)</w:t>
            </w:r>
            <w:r w:rsidRPr="00A463C5">
              <w:rPr>
                <w:lang w:val="fr-FR"/>
              </w:rPr>
              <w:t>.</w:t>
            </w:r>
          </w:p>
        </w:tc>
        <w:tc>
          <w:tcPr>
            <w:tcW w:w="4532" w:type="dxa"/>
            <w:gridSpan w:val="3"/>
          </w:tcPr>
          <w:p w14:paraId="58140646" w14:textId="77777777" w:rsidR="00B23307" w:rsidRPr="00A463C5" w:rsidRDefault="00B23307" w:rsidP="00606C69">
            <w:pPr>
              <w:spacing w:after="0"/>
              <w:rPr>
                <w:lang w:val="fr-FR"/>
              </w:rPr>
            </w:pPr>
            <w:r w:rsidRPr="00A84ABC">
              <w:rPr>
                <w:lang w:val="fr-FR"/>
              </w:rPr>
              <w:t>Données détaillées et supplémentaires (par exemple, inclure la taille des actifs) et interprétation des résultats dans le contexte particulier du rôle des unités de la multinationale, de son activité (industrie) et de l'environnement économique global du pays (y compris les taux d'imposition effectifs).</w:t>
            </w:r>
          </w:p>
        </w:tc>
      </w:tr>
      <w:tr w:rsidR="00B23307" w:rsidRPr="00A463C5" w14:paraId="07274F8F" w14:textId="77777777" w:rsidTr="00606C69">
        <w:tc>
          <w:tcPr>
            <w:tcW w:w="9062" w:type="dxa"/>
            <w:gridSpan w:val="6"/>
            <w:shd w:val="clear" w:color="auto" w:fill="DEEAF6" w:themeFill="accent5" w:themeFillTint="33"/>
          </w:tcPr>
          <w:p w14:paraId="556E650C" w14:textId="77777777" w:rsidR="00B23307" w:rsidRPr="00A463C5" w:rsidRDefault="00B23307" w:rsidP="00606C69">
            <w:pPr>
              <w:spacing w:after="0"/>
              <w:rPr>
                <w:lang w:val="fr-FR"/>
              </w:rPr>
            </w:pPr>
            <w:r w:rsidRPr="00A463C5">
              <w:rPr>
                <w:noProof/>
                <w:lang w:val="fr-FR"/>
              </w:rPr>
              <w:drawing>
                <wp:inline distT="0" distB="0" distL="0" distR="0" wp14:anchorId="13D57293" wp14:editId="7E992D57">
                  <wp:extent cx="288000" cy="288000"/>
                  <wp:effectExtent l="0" t="0" r="0" b="0"/>
                  <wp:docPr id="45" name="Graphic 45"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Calcul </w:t>
            </w:r>
          </w:p>
        </w:tc>
      </w:tr>
      <w:tr w:rsidR="00B23307" w:rsidRPr="004A729B" w14:paraId="4060E100" w14:textId="77777777" w:rsidTr="00606C69">
        <w:tc>
          <w:tcPr>
            <w:tcW w:w="9062" w:type="dxa"/>
            <w:gridSpan w:val="6"/>
          </w:tcPr>
          <w:p w14:paraId="0A23DE65" w14:textId="77777777" w:rsidR="00B23307" w:rsidRPr="00A463C5" w:rsidRDefault="00B23307" w:rsidP="00606C69">
            <w:pPr>
              <w:spacing w:after="0"/>
              <w:rPr>
                <w:lang w:val="fr-FR"/>
              </w:rPr>
            </w:pPr>
            <w:r w:rsidRPr="00A463C5">
              <w:rPr>
                <w:lang w:val="fr-FR"/>
              </w:rPr>
              <w:t xml:space="preserve">1. Phase zéro de l'exploration de la nature entrante ou sortante des </w:t>
            </w:r>
            <w:r>
              <w:rPr>
                <w:lang w:val="fr-FR"/>
              </w:rPr>
              <w:t>FFI</w:t>
            </w:r>
            <w:r w:rsidRPr="00A463C5">
              <w:rPr>
                <w:lang w:val="fr-FR"/>
              </w:rPr>
              <w:t xml:space="preserve"> du pays. </w:t>
            </w:r>
          </w:p>
          <w:p w14:paraId="1D177A12" w14:textId="77777777" w:rsidR="00B23307" w:rsidRPr="00A463C5" w:rsidRDefault="00B23307" w:rsidP="00606C69">
            <w:pPr>
              <w:spacing w:after="0"/>
              <w:rPr>
                <w:lang w:val="fr-FR"/>
              </w:rPr>
            </w:pPr>
            <w:r w:rsidRPr="00A463C5">
              <w:rPr>
                <w:lang w:val="fr-FR"/>
              </w:rPr>
              <w:t>2. Phase d'identification, entre la comparaison (appliquer</w:t>
            </w:r>
            <w:r>
              <w:rPr>
                <w:lang w:val="fr-FR"/>
              </w:rPr>
              <w:t xml:space="preserve"> </w:t>
            </w:r>
            <w:r w:rsidRPr="00270934">
              <w:rPr>
                <w:i/>
                <w:iCs/>
                <w:lang w:val="fr-FR"/>
              </w:rPr>
              <w:t>Propensity Score matching</w:t>
            </w:r>
            <w:r>
              <w:rPr>
                <w:lang w:val="fr-FR"/>
              </w:rPr>
              <w:t xml:space="preserve"> (</w:t>
            </w:r>
            <w:r w:rsidRPr="00A463C5">
              <w:rPr>
                <w:lang w:val="fr-FR"/>
              </w:rPr>
              <w:t>PS).</w:t>
            </w:r>
          </w:p>
          <w:p w14:paraId="28B2D2EA" w14:textId="77777777" w:rsidR="00B23307" w:rsidRPr="00A463C5" w:rsidRDefault="00B23307" w:rsidP="00606C69">
            <w:pPr>
              <w:spacing w:after="0"/>
              <w:rPr>
                <w:lang w:val="fr-FR"/>
              </w:rPr>
            </w:pPr>
            <w:r w:rsidRPr="00A463C5">
              <w:rPr>
                <w:lang w:val="fr-FR"/>
              </w:rPr>
              <w:lastRenderedPageBreak/>
              <w:t>3. Phase d'identification, au sein de la comparaison : obtenir un indicateur composite par analyse factorielle.</w:t>
            </w:r>
          </w:p>
          <w:p w14:paraId="6F5234B2" w14:textId="77777777" w:rsidR="00B23307" w:rsidRPr="00A463C5" w:rsidRDefault="00B23307" w:rsidP="00606C69">
            <w:pPr>
              <w:spacing w:after="0"/>
              <w:rPr>
                <w:lang w:val="fr-FR"/>
              </w:rPr>
            </w:pPr>
            <w:r w:rsidRPr="00A463C5">
              <w:rPr>
                <w:lang w:val="fr-FR"/>
              </w:rPr>
              <w:t xml:space="preserve">4. Phase d'identification, au sein de la comparaison : Modèle </w:t>
            </w:r>
            <w:r>
              <w:rPr>
                <w:lang w:val="fr-FR"/>
              </w:rPr>
              <w:t>L</w:t>
            </w:r>
            <w:r w:rsidRPr="00A463C5">
              <w:rPr>
                <w:lang w:val="fr-FR"/>
              </w:rPr>
              <w:t xml:space="preserve">ogit utilisant un indicateur composite pour obtenir un proxy (0,1). </w:t>
            </w:r>
          </w:p>
          <w:p w14:paraId="3FBC7AC3" w14:textId="77777777" w:rsidR="00B23307" w:rsidRPr="00A463C5" w:rsidRDefault="00B23307" w:rsidP="00606C69">
            <w:pPr>
              <w:spacing w:after="0"/>
              <w:rPr>
                <w:lang w:val="fr-FR"/>
              </w:rPr>
            </w:pPr>
            <w:r w:rsidRPr="00A463C5">
              <w:rPr>
                <w:lang w:val="fr-FR"/>
              </w:rPr>
              <w:t xml:space="preserve">5. Phase d'identification, dans le cadre de la comparaison : l'observation du seuil est obtenue. </w:t>
            </w:r>
          </w:p>
          <w:p w14:paraId="3CBE6C79" w14:textId="77777777" w:rsidR="00B23307" w:rsidRPr="00A463C5" w:rsidRDefault="00B23307" w:rsidP="00606C69">
            <w:pPr>
              <w:spacing w:after="0"/>
              <w:rPr>
                <w:lang w:val="fr-FR"/>
              </w:rPr>
            </w:pPr>
            <w:r w:rsidRPr="00A463C5">
              <w:rPr>
                <w:lang w:val="fr-FR"/>
              </w:rPr>
              <w:t xml:space="preserve">6. Phase d'identification, dans le cadre d'une comparaison : classer les </w:t>
            </w:r>
            <w:r>
              <w:rPr>
                <w:lang w:val="fr-FR"/>
              </w:rPr>
              <w:t>multinationales</w:t>
            </w:r>
            <w:r w:rsidRPr="00A463C5">
              <w:rPr>
                <w:lang w:val="fr-FR"/>
              </w:rPr>
              <w:t xml:space="preserve"> entre celles qui évitent l'impôt et celles qui ne l'évitent pas. </w:t>
            </w:r>
          </w:p>
          <w:p w14:paraId="70542B6E" w14:textId="77777777" w:rsidR="00B23307" w:rsidRPr="00A463C5" w:rsidRDefault="00B23307" w:rsidP="00606C69">
            <w:pPr>
              <w:spacing w:after="0"/>
              <w:rPr>
                <w:lang w:val="fr-FR"/>
              </w:rPr>
            </w:pPr>
            <w:r w:rsidRPr="00A463C5">
              <w:rPr>
                <w:lang w:val="fr-FR"/>
              </w:rPr>
              <w:t>7. Phase de mesure : calculer la valeur ajustée du ratio EBIT sur ch</w:t>
            </w:r>
            <w:r>
              <w:rPr>
                <w:lang w:val="fr-FR"/>
              </w:rPr>
              <w:t>iff</w:t>
            </w:r>
            <w:r w:rsidRPr="00A463C5">
              <w:rPr>
                <w:lang w:val="fr-FR"/>
              </w:rPr>
              <w:t xml:space="preserve">re d'affaires pour chaque </w:t>
            </w:r>
            <w:r>
              <w:rPr>
                <w:lang w:val="fr-FR"/>
              </w:rPr>
              <w:t>multinationale.</w:t>
            </w:r>
          </w:p>
          <w:p w14:paraId="6813141E" w14:textId="77777777" w:rsidR="00B23307" w:rsidRPr="00A463C5" w:rsidRDefault="00B23307" w:rsidP="00606C69">
            <w:pPr>
              <w:spacing w:after="0"/>
              <w:rPr>
                <w:lang w:val="fr-FR"/>
              </w:rPr>
            </w:pPr>
            <w:r w:rsidRPr="00A463C5">
              <w:rPr>
                <w:lang w:val="fr-FR"/>
              </w:rPr>
              <w:t>8. Calcule</w:t>
            </w:r>
            <w:r>
              <w:rPr>
                <w:lang w:val="fr-FR"/>
              </w:rPr>
              <w:t>r</w:t>
            </w:r>
            <w:r w:rsidRPr="00A463C5">
              <w:rPr>
                <w:lang w:val="fr-FR"/>
              </w:rPr>
              <w:t xml:space="preserve"> l</w:t>
            </w:r>
            <w:r>
              <w:rPr>
                <w:lang w:val="fr-FR"/>
              </w:rPr>
              <w:t>es FFI</w:t>
            </w:r>
            <w:r w:rsidRPr="00A463C5">
              <w:rPr>
                <w:lang w:val="fr-FR"/>
              </w:rPr>
              <w:t xml:space="preserve"> pour chaque </w:t>
            </w:r>
            <w:r>
              <w:rPr>
                <w:lang w:val="fr-FR"/>
              </w:rPr>
              <w:t>multinationale.</w:t>
            </w:r>
          </w:p>
          <w:p w14:paraId="3EF7B829" w14:textId="77777777" w:rsidR="00B23307" w:rsidRPr="00A463C5" w:rsidRDefault="00B23307" w:rsidP="00606C69">
            <w:pPr>
              <w:spacing w:after="0"/>
              <w:rPr>
                <w:lang w:val="fr-FR"/>
              </w:rPr>
            </w:pPr>
            <w:r w:rsidRPr="00A463C5">
              <w:rPr>
                <w:lang w:val="fr-FR"/>
              </w:rPr>
              <w:t xml:space="preserve">9. Agréger pour obtenir le total des </w:t>
            </w:r>
            <w:r>
              <w:rPr>
                <w:lang w:val="fr-FR"/>
              </w:rPr>
              <w:t>FFI</w:t>
            </w:r>
            <w:r w:rsidRPr="00A463C5">
              <w:rPr>
                <w:lang w:val="fr-FR"/>
              </w:rPr>
              <w:t xml:space="preserve"> d'un pays (entrants ou sortants - voir note spéciale).</w:t>
            </w:r>
          </w:p>
        </w:tc>
      </w:tr>
      <w:tr w:rsidR="00B23307" w:rsidRPr="00A463C5" w14:paraId="46589D81" w14:textId="77777777" w:rsidTr="00606C69">
        <w:tc>
          <w:tcPr>
            <w:tcW w:w="9062" w:type="dxa"/>
            <w:gridSpan w:val="6"/>
            <w:shd w:val="clear" w:color="auto" w:fill="DEEAF6" w:themeFill="accent5" w:themeFillTint="33"/>
          </w:tcPr>
          <w:p w14:paraId="5FA48A40" w14:textId="77777777" w:rsidR="00B23307" w:rsidRPr="00A463C5" w:rsidRDefault="00B23307" w:rsidP="00606C69">
            <w:pPr>
              <w:spacing w:after="0"/>
              <w:rPr>
                <w:lang w:val="fr-FR"/>
              </w:rPr>
            </w:pPr>
            <w:r w:rsidRPr="00A463C5">
              <w:rPr>
                <w:noProof/>
                <w:lang w:val="fr-FR"/>
              </w:rPr>
              <w:lastRenderedPageBreak/>
              <w:drawing>
                <wp:inline distT="0" distB="0" distL="0" distR="0" wp14:anchorId="556D6ECC" wp14:editId="62405C41">
                  <wp:extent cx="288000" cy="288000"/>
                  <wp:effectExtent l="0" t="0" r="0" b="0"/>
                  <wp:docPr id="46" name="Graphic 46"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6"/>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8000" cy="288000"/>
                          </a:xfrm>
                          <a:prstGeom prst="rect">
                            <a:avLst/>
                          </a:prstGeom>
                        </pic:spPr>
                      </pic:pic>
                    </a:graphicData>
                  </a:graphic>
                </wp:inline>
              </w:drawing>
            </w:r>
            <w:r w:rsidRPr="00A463C5">
              <w:rPr>
                <w:b/>
                <w:bCs/>
                <w:lang w:val="fr-FR"/>
              </w:rPr>
              <w:t>Résultats</w:t>
            </w:r>
          </w:p>
        </w:tc>
      </w:tr>
      <w:tr w:rsidR="00B23307" w:rsidRPr="004A729B" w14:paraId="075C83BD" w14:textId="77777777" w:rsidTr="00606C69">
        <w:tc>
          <w:tcPr>
            <w:tcW w:w="9062" w:type="dxa"/>
            <w:gridSpan w:val="6"/>
          </w:tcPr>
          <w:p w14:paraId="509F390D" w14:textId="77777777" w:rsidR="00B23307" w:rsidRPr="00A463C5" w:rsidRDefault="00B23307" w:rsidP="00606C69">
            <w:pPr>
              <w:spacing w:after="0"/>
              <w:rPr>
                <w:lang w:val="fr-FR"/>
              </w:rPr>
            </w:pPr>
            <w:r w:rsidRPr="00560000">
              <w:rPr>
                <w:lang w:val="fr-FR"/>
              </w:rPr>
              <w:t>Les résultats sont présentés annuellement pour l'ensemble de l’économie : FFI entrants et sortants.</w:t>
            </w:r>
          </w:p>
        </w:tc>
      </w:tr>
      <w:tr w:rsidR="00B23307" w:rsidRPr="00A463C5" w14:paraId="618795C4" w14:textId="77777777" w:rsidTr="00606C69">
        <w:tc>
          <w:tcPr>
            <w:tcW w:w="9062" w:type="dxa"/>
            <w:gridSpan w:val="6"/>
            <w:shd w:val="clear" w:color="auto" w:fill="DEEAF6" w:themeFill="accent5" w:themeFillTint="33"/>
          </w:tcPr>
          <w:p w14:paraId="03369F3D" w14:textId="77777777" w:rsidR="00B23307" w:rsidRPr="00A463C5" w:rsidRDefault="00B23307" w:rsidP="00606C69">
            <w:pPr>
              <w:spacing w:after="0"/>
              <w:rPr>
                <w:lang w:val="fr-FR"/>
              </w:rPr>
            </w:pPr>
            <w:r w:rsidRPr="00A463C5">
              <w:rPr>
                <w:noProof/>
                <w:lang w:val="fr-FR"/>
              </w:rPr>
              <w:drawing>
                <wp:inline distT="0" distB="0" distL="0" distR="0" wp14:anchorId="5A2002C7" wp14:editId="19176BFB">
                  <wp:extent cx="288000" cy="288000"/>
                  <wp:effectExtent l="0" t="0" r="0" b="0"/>
                  <wp:docPr id="47" name="Graphic 47"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7"/>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Note(s) spéciale(s) </w:t>
            </w:r>
          </w:p>
        </w:tc>
      </w:tr>
      <w:tr w:rsidR="00B23307" w:rsidRPr="004A729B" w14:paraId="153381F8" w14:textId="77777777" w:rsidTr="00606C69">
        <w:tc>
          <w:tcPr>
            <w:tcW w:w="9062" w:type="dxa"/>
            <w:gridSpan w:val="6"/>
          </w:tcPr>
          <w:p w14:paraId="2989594C" w14:textId="77777777" w:rsidR="00B23307" w:rsidRPr="00A463C5" w:rsidRDefault="00B23307" w:rsidP="00606C69">
            <w:pPr>
              <w:spacing w:after="0"/>
              <w:rPr>
                <w:lang w:val="fr-FR"/>
              </w:rPr>
            </w:pPr>
            <w:r w:rsidRPr="00A463C5">
              <w:rPr>
                <w:lang w:val="fr-FR"/>
              </w:rPr>
              <w:t>Une analyse préalable est nécessaire pour lancer le modèle, que ce soit pour les flux entrants ou sortants. Un pays ne peut pas avoir les deux flux identifiés ou mesurés avec cette méthode.</w:t>
            </w:r>
          </w:p>
        </w:tc>
      </w:tr>
      <w:tr w:rsidR="00B23307" w:rsidRPr="00A463C5" w14:paraId="4CBB7038" w14:textId="77777777" w:rsidTr="00606C69">
        <w:tc>
          <w:tcPr>
            <w:tcW w:w="9062" w:type="dxa"/>
            <w:gridSpan w:val="6"/>
            <w:shd w:val="clear" w:color="auto" w:fill="DEEAF6" w:themeFill="accent5" w:themeFillTint="33"/>
          </w:tcPr>
          <w:p w14:paraId="740DB3E6" w14:textId="77777777" w:rsidR="00B23307" w:rsidRPr="00A463C5" w:rsidRDefault="00B23307" w:rsidP="00606C69">
            <w:pPr>
              <w:spacing w:after="0"/>
              <w:rPr>
                <w:lang w:val="fr-FR"/>
              </w:rPr>
            </w:pPr>
            <w:r w:rsidRPr="00A463C5">
              <w:rPr>
                <w:noProof/>
                <w:lang w:val="fr-FR"/>
              </w:rPr>
              <w:drawing>
                <wp:inline distT="0" distB="0" distL="0" distR="0" wp14:anchorId="32962DF0" wp14:editId="466D1B0A">
                  <wp:extent cx="288000" cy="288000"/>
                  <wp:effectExtent l="0" t="0" r="0" b="0"/>
                  <wp:docPr id="48" name="Graphic 48"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8000" cy="288000"/>
                          </a:xfrm>
                          <a:prstGeom prst="rect">
                            <a:avLst/>
                          </a:prstGeom>
                        </pic:spPr>
                      </pic:pic>
                    </a:graphicData>
                  </a:graphic>
                </wp:inline>
              </w:drawing>
            </w:r>
            <w:r w:rsidRPr="00A463C5">
              <w:rPr>
                <w:b/>
                <w:bCs/>
                <w:lang w:val="fr-FR"/>
              </w:rPr>
              <w:t>Études de cas</w:t>
            </w:r>
          </w:p>
        </w:tc>
      </w:tr>
      <w:tr w:rsidR="00B23307" w:rsidRPr="004A729B" w14:paraId="5135E7F1" w14:textId="77777777" w:rsidTr="00606C69">
        <w:tc>
          <w:tcPr>
            <w:tcW w:w="9062" w:type="dxa"/>
            <w:gridSpan w:val="6"/>
          </w:tcPr>
          <w:p w14:paraId="4DCD0350" w14:textId="77777777" w:rsidR="00B23307" w:rsidRPr="00A463C5" w:rsidRDefault="00B23307" w:rsidP="00606C69">
            <w:pPr>
              <w:spacing w:after="0"/>
              <w:rPr>
                <w:lang w:val="fr-FR"/>
              </w:rPr>
            </w:pPr>
            <w:r w:rsidRPr="00A463C5">
              <w:rPr>
                <w:lang w:val="fr-FR"/>
              </w:rPr>
              <w:t>1. Indicateurs du transfert de bénéfices par les multinationales au Canada (Fortier-Labonté et Schaffter, 2019).</w:t>
            </w:r>
          </w:p>
          <w:p w14:paraId="4D04EE47" w14:textId="77777777" w:rsidR="00B23307" w:rsidRPr="00A463C5" w:rsidRDefault="00B23307" w:rsidP="00606C69">
            <w:pPr>
              <w:spacing w:after="0"/>
              <w:rPr>
                <w:lang w:val="fr-FR"/>
              </w:rPr>
            </w:pPr>
            <w:r w:rsidRPr="00A463C5">
              <w:rPr>
                <w:lang w:val="fr-FR"/>
              </w:rPr>
              <w:t>2. Transfert de bénéfices en Italie (Sallusti, 2021).</w:t>
            </w:r>
          </w:p>
        </w:tc>
      </w:tr>
    </w:tbl>
    <w:p w14:paraId="1C0FF3B3" w14:textId="77777777" w:rsidR="00B23307" w:rsidRPr="00A463C5" w:rsidRDefault="00B23307" w:rsidP="00B23307">
      <w:pPr>
        <w:rPr>
          <w:lang w:val="fr-FR"/>
        </w:rPr>
      </w:pPr>
    </w:p>
    <w:p w14:paraId="2B04EA21" w14:textId="77777777" w:rsidR="00B23307" w:rsidRPr="00A463C5" w:rsidRDefault="00B23307" w:rsidP="00B23307">
      <w:pPr>
        <w:rPr>
          <w:lang w:val="fr-FR"/>
        </w:rPr>
      </w:pPr>
    </w:p>
    <w:p w14:paraId="7696AE21" w14:textId="77777777" w:rsidR="00B23307" w:rsidRPr="00A463C5" w:rsidRDefault="00B23307" w:rsidP="00B23307">
      <w:pPr>
        <w:rPr>
          <w:lang w:val="fr-FR"/>
        </w:rPr>
      </w:pPr>
      <w:r w:rsidRPr="00A463C5">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845"/>
      </w:tblGrid>
      <w:tr w:rsidR="00B23307" w:rsidRPr="004A729B" w14:paraId="028BF50D" w14:textId="77777777" w:rsidTr="00606C69">
        <w:tc>
          <w:tcPr>
            <w:tcW w:w="2265" w:type="dxa"/>
            <w:tcBorders>
              <w:right w:val="nil"/>
            </w:tcBorders>
            <w:shd w:val="clear" w:color="auto" w:fill="DEEAF6" w:themeFill="accent5" w:themeFillTint="33"/>
          </w:tcPr>
          <w:p w14:paraId="0DA32665" w14:textId="77777777" w:rsidR="00B23307" w:rsidRPr="00A463C5" w:rsidRDefault="00B23307" w:rsidP="00606C69">
            <w:pPr>
              <w:spacing w:after="0"/>
              <w:rPr>
                <w:lang w:val="fr-FR"/>
              </w:rPr>
            </w:pPr>
            <w:r w:rsidRPr="00A463C5">
              <w:rPr>
                <w:b/>
                <w:bCs/>
                <w:lang w:val="fr-FR"/>
              </w:rPr>
              <w:lastRenderedPageBreak/>
              <w:t>Fiche d'information sur la méthode</w:t>
            </w:r>
          </w:p>
        </w:tc>
        <w:tc>
          <w:tcPr>
            <w:tcW w:w="6797" w:type="dxa"/>
            <w:gridSpan w:val="5"/>
            <w:tcBorders>
              <w:left w:val="nil"/>
            </w:tcBorders>
            <w:shd w:val="clear" w:color="auto" w:fill="DEEAF6" w:themeFill="accent5" w:themeFillTint="33"/>
          </w:tcPr>
          <w:p w14:paraId="4704B4A7" w14:textId="77777777" w:rsidR="00B23307" w:rsidRPr="00A463C5" w:rsidRDefault="00B23307" w:rsidP="00606C69">
            <w:pPr>
              <w:spacing w:after="0"/>
              <w:jc w:val="right"/>
              <w:rPr>
                <w:b/>
                <w:bCs/>
                <w:lang w:val="fr-FR"/>
              </w:rPr>
            </w:pPr>
            <w:r>
              <w:rPr>
                <w:b/>
                <w:bCs/>
                <w:lang w:val="fr-FR"/>
              </w:rPr>
              <w:t xml:space="preserve">       </w:t>
            </w:r>
            <w:r w:rsidRPr="00A463C5">
              <w:rPr>
                <w:b/>
                <w:bCs/>
                <w:lang w:val="fr-FR"/>
              </w:rPr>
              <w:t xml:space="preserve"> DIRECTIVES MÉTHODOLOGIQUES POUR MESURER </w:t>
            </w:r>
          </w:p>
          <w:p w14:paraId="1A933AD8" w14:textId="77777777" w:rsidR="00B23307" w:rsidRPr="00A463C5" w:rsidRDefault="00B23307" w:rsidP="00606C69">
            <w:pPr>
              <w:spacing w:after="0"/>
              <w:jc w:val="right"/>
              <w:rPr>
                <w:b/>
                <w:bCs/>
                <w:lang w:val="fr-FR"/>
              </w:rPr>
            </w:pPr>
            <w:r w:rsidRPr="00A463C5">
              <w:rPr>
                <w:b/>
                <w:bCs/>
                <w:lang w:val="fr-FR"/>
              </w:rPr>
              <w:t xml:space="preserve">LES FLUX FINANCIERS ILLICITES FISCAUX ET COMMERCIAUX </w:t>
            </w:r>
          </w:p>
          <w:p w14:paraId="1D453195" w14:textId="40A8D164" w:rsidR="00B23307" w:rsidRPr="00A463C5" w:rsidRDefault="00B23307" w:rsidP="00606C69">
            <w:pPr>
              <w:spacing w:after="0"/>
              <w:jc w:val="right"/>
              <w:rPr>
                <w:b/>
                <w:bCs/>
                <w:sz w:val="20"/>
                <w:szCs w:val="20"/>
                <w:lang w:val="fr-FR"/>
              </w:rPr>
            </w:pPr>
            <w:r w:rsidRPr="00A463C5">
              <w:rPr>
                <w:b/>
                <w:bCs/>
                <w:sz w:val="20"/>
                <w:szCs w:val="20"/>
                <w:lang w:val="fr-FR"/>
              </w:rPr>
              <w:t xml:space="preserve">Méthodes pour les </w:t>
            </w:r>
            <w:r w:rsidR="00E302C1">
              <w:rPr>
                <w:b/>
                <w:bCs/>
                <w:sz w:val="20"/>
                <w:szCs w:val="20"/>
                <w:lang w:val="fr-FR"/>
              </w:rPr>
              <w:t>tests</w:t>
            </w:r>
            <w:r w:rsidRPr="00A463C5">
              <w:rPr>
                <w:b/>
                <w:bCs/>
                <w:sz w:val="20"/>
                <w:szCs w:val="20"/>
                <w:lang w:val="fr-FR"/>
              </w:rPr>
              <w:t xml:space="preserve"> pilotes</w:t>
            </w:r>
          </w:p>
        </w:tc>
      </w:tr>
      <w:tr w:rsidR="00B23307" w:rsidRPr="004A729B" w14:paraId="34D6396E" w14:textId="77777777" w:rsidTr="00606C69">
        <w:tc>
          <w:tcPr>
            <w:tcW w:w="2405" w:type="dxa"/>
            <w:gridSpan w:val="2"/>
            <w:shd w:val="clear" w:color="auto" w:fill="DEEAF6" w:themeFill="accent5" w:themeFillTint="33"/>
          </w:tcPr>
          <w:p w14:paraId="4E44B7FB" w14:textId="77777777" w:rsidR="00B23307" w:rsidRPr="00A463C5" w:rsidRDefault="00B23307" w:rsidP="00606C69">
            <w:pPr>
              <w:spacing w:after="0"/>
              <w:rPr>
                <w:b/>
                <w:bCs/>
                <w:lang w:val="fr-FR"/>
              </w:rPr>
            </w:pPr>
            <w:r w:rsidRPr="00A463C5">
              <w:rPr>
                <w:b/>
                <w:bCs/>
                <w:lang w:val="fr-FR"/>
              </w:rPr>
              <w:t>Titre de la méthode</w:t>
            </w:r>
          </w:p>
        </w:tc>
        <w:tc>
          <w:tcPr>
            <w:tcW w:w="6657" w:type="dxa"/>
            <w:gridSpan w:val="4"/>
          </w:tcPr>
          <w:p w14:paraId="3D53043C" w14:textId="7D14B935" w:rsidR="00B23307" w:rsidRPr="00A463C5" w:rsidRDefault="00B23307" w:rsidP="00606C69">
            <w:pPr>
              <w:spacing w:after="0"/>
              <w:rPr>
                <w:lang w:val="fr-FR"/>
              </w:rPr>
            </w:pPr>
            <w:r w:rsidRPr="00A463C5">
              <w:rPr>
                <w:lang w:val="fr-FR"/>
              </w:rPr>
              <w:t xml:space="preserve">#5 </w:t>
            </w:r>
            <w:r w:rsidR="00987A4E" w:rsidRPr="00A463C5">
              <w:rPr>
                <w:lang w:val="fr-FR"/>
              </w:rPr>
              <w:t>Indicateur de flux d'avoir</w:t>
            </w:r>
            <w:r w:rsidR="00987A4E">
              <w:rPr>
                <w:lang w:val="fr-FR"/>
              </w:rPr>
              <w:t>s</w:t>
            </w:r>
            <w:r w:rsidR="00987A4E" w:rsidRPr="00A463C5">
              <w:rPr>
                <w:lang w:val="fr-FR"/>
              </w:rPr>
              <w:t xml:space="preserve"> </w:t>
            </w:r>
            <w:r w:rsidR="00987A4E">
              <w:rPr>
                <w:lang w:val="fr-FR"/>
              </w:rPr>
              <w:t>offshore</w:t>
            </w:r>
            <w:r w:rsidR="00987A4E" w:rsidRPr="00A463C5">
              <w:rPr>
                <w:lang w:val="fr-FR"/>
              </w:rPr>
              <w:t xml:space="preserve"> non</w:t>
            </w:r>
            <w:r w:rsidR="00987A4E">
              <w:rPr>
                <w:lang w:val="fr-FR"/>
              </w:rPr>
              <w:t xml:space="preserve"> </w:t>
            </w:r>
            <w:r w:rsidR="00987A4E" w:rsidRPr="00A463C5">
              <w:rPr>
                <w:lang w:val="fr-FR"/>
              </w:rPr>
              <w:t>déclarés</w:t>
            </w:r>
          </w:p>
        </w:tc>
      </w:tr>
      <w:tr w:rsidR="00B23307" w:rsidRPr="00A463C5" w14:paraId="235CEC83" w14:textId="77777777" w:rsidTr="00606C69">
        <w:tc>
          <w:tcPr>
            <w:tcW w:w="2405" w:type="dxa"/>
            <w:gridSpan w:val="2"/>
            <w:shd w:val="clear" w:color="auto" w:fill="DEEAF6" w:themeFill="accent5" w:themeFillTint="33"/>
          </w:tcPr>
          <w:p w14:paraId="1965FD51" w14:textId="77777777" w:rsidR="00B23307" w:rsidRPr="00A463C5" w:rsidRDefault="00B23307" w:rsidP="00606C69">
            <w:pPr>
              <w:spacing w:after="0"/>
              <w:rPr>
                <w:b/>
                <w:bCs/>
                <w:lang w:val="fr-FR"/>
              </w:rPr>
            </w:pPr>
            <w:r w:rsidRPr="00A463C5">
              <w:rPr>
                <w:b/>
                <w:bCs/>
                <w:lang w:val="fr-FR"/>
              </w:rPr>
              <w:t>Titre(s) alternatif(s)</w:t>
            </w:r>
          </w:p>
        </w:tc>
        <w:tc>
          <w:tcPr>
            <w:tcW w:w="6657" w:type="dxa"/>
            <w:gridSpan w:val="4"/>
          </w:tcPr>
          <w:p w14:paraId="78B3C36C" w14:textId="77777777" w:rsidR="00B23307" w:rsidRPr="00A463C5" w:rsidRDefault="00B23307" w:rsidP="00606C69">
            <w:pPr>
              <w:spacing w:after="0"/>
              <w:rPr>
                <w:lang w:val="fr-FR"/>
              </w:rPr>
            </w:pPr>
          </w:p>
        </w:tc>
      </w:tr>
      <w:tr w:rsidR="00B23307" w:rsidRPr="004A729B" w14:paraId="3B77DF86" w14:textId="77777777" w:rsidTr="00606C69">
        <w:tc>
          <w:tcPr>
            <w:tcW w:w="2405" w:type="dxa"/>
            <w:gridSpan w:val="2"/>
            <w:shd w:val="clear" w:color="auto" w:fill="DEEAF6" w:themeFill="accent5" w:themeFillTint="33"/>
          </w:tcPr>
          <w:p w14:paraId="3EEA352E" w14:textId="77777777" w:rsidR="00B23307" w:rsidRPr="00A463C5" w:rsidRDefault="00B23307" w:rsidP="00606C69">
            <w:pPr>
              <w:spacing w:after="0"/>
              <w:rPr>
                <w:b/>
                <w:bCs/>
                <w:lang w:val="fr-FR"/>
              </w:rPr>
            </w:pPr>
            <w:r w:rsidRPr="00A463C5">
              <w:rPr>
                <w:b/>
                <w:bCs/>
                <w:lang w:val="fr-FR"/>
              </w:rPr>
              <w:t>Groupe de méthodes</w:t>
            </w:r>
          </w:p>
        </w:tc>
        <w:tc>
          <w:tcPr>
            <w:tcW w:w="6657" w:type="dxa"/>
            <w:gridSpan w:val="4"/>
          </w:tcPr>
          <w:p w14:paraId="3A070C83" w14:textId="5FB2C213" w:rsidR="00B23307" w:rsidRPr="00A463C5" w:rsidRDefault="004A729B" w:rsidP="00606C69">
            <w:pPr>
              <w:spacing w:after="0"/>
              <w:rPr>
                <w:lang w:val="fr-FR"/>
              </w:rPr>
            </w:pPr>
            <w:r w:rsidRPr="009C76D6">
              <w:rPr>
                <w:lang w:val="fr-FR"/>
              </w:rPr>
              <w:t>Transfert de patrimoine par des particuliers afin d’échapper aux impôts</w:t>
            </w:r>
          </w:p>
        </w:tc>
      </w:tr>
      <w:tr w:rsidR="00B23307" w:rsidRPr="00A463C5" w14:paraId="552333F3" w14:textId="77777777" w:rsidTr="00606C69">
        <w:tc>
          <w:tcPr>
            <w:tcW w:w="2405" w:type="dxa"/>
            <w:gridSpan w:val="2"/>
            <w:shd w:val="clear" w:color="auto" w:fill="DEEAF6" w:themeFill="accent5" w:themeFillTint="33"/>
          </w:tcPr>
          <w:p w14:paraId="00C6DAAB" w14:textId="77777777" w:rsidR="00B23307" w:rsidRPr="00A463C5" w:rsidRDefault="00B23307" w:rsidP="00606C69">
            <w:pPr>
              <w:spacing w:after="0"/>
              <w:rPr>
                <w:b/>
                <w:bCs/>
                <w:lang w:val="fr-FR"/>
              </w:rPr>
            </w:pPr>
            <w:r w:rsidRPr="00A463C5">
              <w:rPr>
                <w:b/>
                <w:bCs/>
                <w:lang w:val="fr-FR"/>
              </w:rPr>
              <w:t xml:space="preserve">Type de flux </w:t>
            </w:r>
            <w:r>
              <w:rPr>
                <w:b/>
                <w:bCs/>
                <w:lang w:val="fr-FR"/>
              </w:rPr>
              <w:t>FFI</w:t>
            </w:r>
            <w:r w:rsidRPr="00A463C5">
              <w:rPr>
                <w:b/>
                <w:bCs/>
                <w:lang w:val="fr-FR"/>
              </w:rPr>
              <w:t xml:space="preserve"> ciblés</w:t>
            </w:r>
          </w:p>
        </w:tc>
        <w:tc>
          <w:tcPr>
            <w:tcW w:w="3827" w:type="dxa"/>
            <w:gridSpan w:val="2"/>
          </w:tcPr>
          <w:p w14:paraId="67BF946E" w14:textId="36F9286A" w:rsidR="00B23307" w:rsidRPr="00A463C5" w:rsidRDefault="00B23307" w:rsidP="00606C69">
            <w:pPr>
              <w:spacing w:after="0"/>
              <w:rPr>
                <w:lang w:val="fr-FR"/>
              </w:rPr>
            </w:pPr>
            <w:r w:rsidRPr="00A463C5">
              <w:rPr>
                <w:lang w:val="fr-FR"/>
              </w:rPr>
              <w:t xml:space="preserve">F1 </w:t>
            </w:r>
            <w:r w:rsidR="00D9271F" w:rsidRPr="009C76D6">
              <w:rPr>
                <w:lang w:val="fr-FR"/>
              </w:rPr>
              <w:t>Transfert de patrimoine</w:t>
            </w:r>
            <w:r w:rsidR="00D9271F">
              <w:rPr>
                <w:lang w:val="fr-FR"/>
              </w:rPr>
              <w:t xml:space="preserve"> pour </w:t>
            </w:r>
            <w:r w:rsidR="00D9271F" w:rsidRPr="009C76D6">
              <w:rPr>
                <w:lang w:val="fr-FR"/>
              </w:rPr>
              <w:t>échapper aux impôts</w:t>
            </w:r>
          </w:p>
        </w:tc>
        <w:tc>
          <w:tcPr>
            <w:tcW w:w="1985" w:type="dxa"/>
            <w:shd w:val="clear" w:color="auto" w:fill="DEEAF6" w:themeFill="accent5" w:themeFillTint="33"/>
          </w:tcPr>
          <w:p w14:paraId="3BAE36A6" w14:textId="77777777" w:rsidR="00B23307" w:rsidRPr="00A463C5" w:rsidRDefault="00B23307" w:rsidP="00606C69">
            <w:pPr>
              <w:spacing w:after="0"/>
              <w:rPr>
                <w:b/>
                <w:bCs/>
                <w:lang w:val="fr-FR"/>
              </w:rPr>
            </w:pPr>
            <w:r w:rsidRPr="00A463C5">
              <w:rPr>
                <w:b/>
                <w:bCs/>
                <w:lang w:val="fr-FR"/>
              </w:rPr>
              <w:t>Classification par niveau</w:t>
            </w:r>
          </w:p>
        </w:tc>
        <w:tc>
          <w:tcPr>
            <w:tcW w:w="845" w:type="dxa"/>
          </w:tcPr>
          <w:p w14:paraId="257358D2" w14:textId="77777777" w:rsidR="00B23307" w:rsidRPr="00A463C5" w:rsidRDefault="00B23307" w:rsidP="00606C69">
            <w:pPr>
              <w:spacing w:after="0"/>
              <w:rPr>
                <w:lang w:val="fr-FR"/>
              </w:rPr>
            </w:pPr>
            <w:r w:rsidRPr="00A463C5">
              <w:rPr>
                <w:lang w:val="fr-FR"/>
              </w:rPr>
              <w:t>Niveau 3</w:t>
            </w:r>
          </w:p>
        </w:tc>
      </w:tr>
      <w:tr w:rsidR="00B23307" w:rsidRPr="00A463C5" w14:paraId="2E78AE26" w14:textId="77777777" w:rsidTr="00606C69">
        <w:tc>
          <w:tcPr>
            <w:tcW w:w="9062" w:type="dxa"/>
            <w:gridSpan w:val="6"/>
            <w:shd w:val="clear" w:color="auto" w:fill="DEEAF6" w:themeFill="accent5" w:themeFillTint="33"/>
          </w:tcPr>
          <w:p w14:paraId="428CCBF1" w14:textId="77777777" w:rsidR="00B23307" w:rsidRPr="00A463C5" w:rsidRDefault="00B23307" w:rsidP="00606C69">
            <w:pPr>
              <w:spacing w:after="0"/>
              <w:rPr>
                <w:lang w:val="fr-FR"/>
              </w:rPr>
            </w:pPr>
            <w:r w:rsidRPr="00A463C5">
              <w:rPr>
                <w:noProof/>
                <w:lang w:val="fr-FR"/>
              </w:rPr>
              <w:drawing>
                <wp:inline distT="0" distB="0" distL="0" distR="0" wp14:anchorId="62B33A14" wp14:editId="10C7FD3E">
                  <wp:extent cx="288000" cy="288000"/>
                  <wp:effectExtent l="0" t="0" r="0" b="0"/>
                  <wp:docPr id="49" name="Graphic 49"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9"/>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Concept </w:t>
            </w:r>
          </w:p>
        </w:tc>
      </w:tr>
      <w:tr w:rsidR="00B23307" w:rsidRPr="004A729B" w14:paraId="179E156B" w14:textId="77777777" w:rsidTr="00606C69">
        <w:tc>
          <w:tcPr>
            <w:tcW w:w="9062" w:type="dxa"/>
            <w:gridSpan w:val="6"/>
          </w:tcPr>
          <w:p w14:paraId="66BDBA39" w14:textId="73028A1D" w:rsidR="00B23307" w:rsidRPr="00A463C5" w:rsidRDefault="00754E6B" w:rsidP="00606C69">
            <w:pPr>
              <w:spacing w:after="0"/>
              <w:rPr>
                <w:lang w:val="fr-FR"/>
              </w:rPr>
            </w:pPr>
            <w:r w:rsidRPr="00A463C5">
              <w:rPr>
                <w:lang w:val="fr-FR"/>
              </w:rPr>
              <w:t>La méthode mesure l'excès de la valeur des avoirs des citoyens déclarés par les pays, par rapport à la valeur déclarée par les citoyens eux-mêmes à des fins fiscales.</w:t>
            </w:r>
          </w:p>
        </w:tc>
      </w:tr>
      <w:tr w:rsidR="00B23307" w:rsidRPr="00A463C5" w14:paraId="27A6E7C0" w14:textId="77777777" w:rsidTr="00606C69">
        <w:tc>
          <w:tcPr>
            <w:tcW w:w="9062" w:type="dxa"/>
            <w:gridSpan w:val="6"/>
            <w:shd w:val="clear" w:color="auto" w:fill="DEEAF6" w:themeFill="accent5" w:themeFillTint="33"/>
          </w:tcPr>
          <w:p w14:paraId="26A87540" w14:textId="77777777" w:rsidR="00B23307" w:rsidRPr="00A463C5" w:rsidRDefault="00B23307" w:rsidP="00606C69">
            <w:pPr>
              <w:spacing w:after="0"/>
              <w:rPr>
                <w:lang w:val="fr-FR"/>
              </w:rPr>
            </w:pPr>
            <w:r w:rsidRPr="00A463C5">
              <w:rPr>
                <w:noProof/>
                <w:lang w:val="fr-FR"/>
              </w:rPr>
              <w:drawing>
                <wp:inline distT="0" distB="0" distL="0" distR="0" wp14:anchorId="634ADD2F" wp14:editId="4A142D9D">
                  <wp:extent cx="288000" cy="288000"/>
                  <wp:effectExtent l="0" t="0" r="0" b="0"/>
                  <wp:docPr id="50" name="Graphic 50"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r w:rsidRPr="00A463C5">
              <w:rPr>
                <w:b/>
                <w:bCs/>
                <w:lang w:val="fr-FR"/>
              </w:rPr>
              <w:t>Hypothèses</w:t>
            </w:r>
          </w:p>
        </w:tc>
      </w:tr>
      <w:tr w:rsidR="00B23307" w:rsidRPr="004A729B" w14:paraId="5F63B211" w14:textId="77777777" w:rsidTr="00606C69">
        <w:tc>
          <w:tcPr>
            <w:tcW w:w="9062" w:type="dxa"/>
            <w:gridSpan w:val="6"/>
          </w:tcPr>
          <w:p w14:paraId="49157FE0" w14:textId="77777777" w:rsidR="00B23307" w:rsidRPr="00A463C5" w:rsidRDefault="00B23307" w:rsidP="00606C69">
            <w:pPr>
              <w:spacing w:after="0"/>
              <w:rPr>
                <w:lang w:val="fr-FR"/>
              </w:rPr>
            </w:pPr>
            <w:r w:rsidRPr="00A463C5">
              <w:rPr>
                <w:lang w:val="fr-FR"/>
              </w:rPr>
              <w:t xml:space="preserve">1. L'écart mesuré peut être attribué aux seuls </w:t>
            </w:r>
            <w:r>
              <w:rPr>
                <w:lang w:val="fr-FR"/>
              </w:rPr>
              <w:t>FFI</w:t>
            </w:r>
            <w:r w:rsidRPr="00A463C5">
              <w:rPr>
                <w:lang w:val="fr-FR"/>
              </w:rPr>
              <w:t xml:space="preserve">. </w:t>
            </w:r>
          </w:p>
          <w:p w14:paraId="58D78705" w14:textId="77777777" w:rsidR="00B23307" w:rsidRPr="00A463C5" w:rsidRDefault="00B23307" w:rsidP="00606C69">
            <w:pPr>
              <w:spacing w:after="0"/>
              <w:rPr>
                <w:lang w:val="fr-FR"/>
              </w:rPr>
            </w:pPr>
            <w:r w:rsidRPr="00A463C5">
              <w:rPr>
                <w:lang w:val="fr-FR"/>
              </w:rPr>
              <w:t xml:space="preserve">2. </w:t>
            </w:r>
            <w:r w:rsidRPr="00E041D0">
              <w:rPr>
                <w:lang w:val="fr-FR"/>
              </w:rPr>
              <w:t>La différence entre deux mesures de stock consécutives est considérée comme le flux correspondant.</w:t>
            </w:r>
            <w:r w:rsidRPr="00A463C5">
              <w:rPr>
                <w:lang w:val="fr-FR"/>
              </w:rPr>
              <w:t xml:space="preserve"> </w:t>
            </w:r>
          </w:p>
        </w:tc>
      </w:tr>
      <w:tr w:rsidR="00B23307" w:rsidRPr="00A463C5" w14:paraId="7096C72D" w14:textId="77777777" w:rsidTr="00606C69">
        <w:tc>
          <w:tcPr>
            <w:tcW w:w="4530" w:type="dxa"/>
            <w:gridSpan w:val="3"/>
            <w:shd w:val="clear" w:color="auto" w:fill="DEEAF6" w:themeFill="accent5" w:themeFillTint="33"/>
          </w:tcPr>
          <w:p w14:paraId="0EB31B8F" w14:textId="77777777" w:rsidR="00B23307" w:rsidRPr="00A463C5" w:rsidRDefault="00B23307" w:rsidP="00606C69">
            <w:pPr>
              <w:spacing w:after="0"/>
              <w:rPr>
                <w:lang w:val="fr-FR"/>
              </w:rPr>
            </w:pPr>
            <w:r w:rsidRPr="00A463C5">
              <w:rPr>
                <w:noProof/>
                <w:lang w:val="fr-FR"/>
              </w:rPr>
              <w:drawing>
                <wp:inline distT="0" distB="0" distL="0" distR="0" wp14:anchorId="0326BC33" wp14:editId="000EB40B">
                  <wp:extent cx="288000" cy="288000"/>
                  <wp:effectExtent l="0" t="0" r="0" b="0"/>
                  <wp:docPr id="51" name="Graphic 51"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Points forts </w:t>
            </w:r>
          </w:p>
        </w:tc>
        <w:tc>
          <w:tcPr>
            <w:tcW w:w="4532" w:type="dxa"/>
            <w:gridSpan w:val="3"/>
            <w:shd w:val="clear" w:color="auto" w:fill="DEEAF6" w:themeFill="accent5" w:themeFillTint="33"/>
          </w:tcPr>
          <w:p w14:paraId="0834E736" w14:textId="77777777" w:rsidR="00B23307" w:rsidRPr="00A463C5" w:rsidRDefault="00B23307" w:rsidP="00606C69">
            <w:pPr>
              <w:spacing w:after="0"/>
              <w:rPr>
                <w:lang w:val="fr-FR"/>
              </w:rPr>
            </w:pPr>
            <w:r w:rsidRPr="00A463C5">
              <w:rPr>
                <w:noProof/>
                <w:lang w:val="fr-FR"/>
              </w:rPr>
              <w:drawing>
                <wp:inline distT="0" distB="0" distL="0" distR="0" wp14:anchorId="4F1DB05C" wp14:editId="4103AA42">
                  <wp:extent cx="288000" cy="288000"/>
                  <wp:effectExtent l="0" t="0" r="0" b="0"/>
                  <wp:docPr id="221" name="Graphic 221"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r w:rsidRPr="00A463C5">
              <w:rPr>
                <w:b/>
                <w:bCs/>
                <w:lang w:val="fr-FR"/>
              </w:rPr>
              <w:t>Limitations</w:t>
            </w:r>
          </w:p>
        </w:tc>
      </w:tr>
      <w:tr w:rsidR="00B23307" w:rsidRPr="004A729B" w14:paraId="0C964A30" w14:textId="77777777" w:rsidTr="00606C69">
        <w:tc>
          <w:tcPr>
            <w:tcW w:w="4530" w:type="dxa"/>
            <w:gridSpan w:val="3"/>
          </w:tcPr>
          <w:p w14:paraId="6363EAE7" w14:textId="77777777" w:rsidR="00B23307" w:rsidRPr="00A463C5" w:rsidRDefault="00B23307" w:rsidP="00606C69">
            <w:pPr>
              <w:spacing w:after="0"/>
              <w:rPr>
                <w:lang w:val="fr-FR"/>
              </w:rPr>
            </w:pPr>
            <w:r w:rsidRPr="00A463C5">
              <w:rPr>
                <w:lang w:val="fr-FR"/>
              </w:rPr>
              <w:t xml:space="preserve">1. Il est relativement simple de calculer la richesse </w:t>
            </w:r>
            <w:r>
              <w:rPr>
                <w:lang w:val="fr-FR"/>
              </w:rPr>
              <w:t>extraterritoriale</w:t>
            </w:r>
            <w:r w:rsidRPr="00A463C5">
              <w:rPr>
                <w:lang w:val="fr-FR"/>
              </w:rPr>
              <w:t>.</w:t>
            </w:r>
          </w:p>
        </w:tc>
        <w:tc>
          <w:tcPr>
            <w:tcW w:w="4532" w:type="dxa"/>
            <w:gridSpan w:val="3"/>
          </w:tcPr>
          <w:p w14:paraId="4EF7B703" w14:textId="77777777" w:rsidR="00032574" w:rsidRPr="00A463C5" w:rsidRDefault="00032574" w:rsidP="00032574">
            <w:pPr>
              <w:spacing w:after="0"/>
              <w:rPr>
                <w:lang w:val="fr-FR"/>
              </w:rPr>
            </w:pPr>
            <w:r w:rsidRPr="00A463C5">
              <w:rPr>
                <w:lang w:val="fr-FR"/>
              </w:rPr>
              <w:t xml:space="preserve">1. L'approche macro. </w:t>
            </w:r>
          </w:p>
          <w:p w14:paraId="1034DC50" w14:textId="77777777" w:rsidR="00032574" w:rsidRPr="00A463C5" w:rsidRDefault="00032574" w:rsidP="00032574">
            <w:pPr>
              <w:spacing w:after="0"/>
              <w:rPr>
                <w:lang w:val="fr-FR"/>
              </w:rPr>
            </w:pPr>
            <w:r w:rsidRPr="00A463C5">
              <w:rPr>
                <w:lang w:val="fr-FR"/>
              </w:rPr>
              <w:t>2. Chevauchement avec d'autres catégories d</w:t>
            </w:r>
            <w:r>
              <w:rPr>
                <w:lang w:val="fr-FR"/>
              </w:rPr>
              <w:t>e FFI</w:t>
            </w:r>
            <w:r w:rsidRPr="00A463C5">
              <w:rPr>
                <w:lang w:val="fr-FR"/>
              </w:rPr>
              <w:t>.</w:t>
            </w:r>
          </w:p>
          <w:p w14:paraId="56F4A3F4" w14:textId="77777777" w:rsidR="00032574" w:rsidRPr="00A463C5" w:rsidRDefault="00032574" w:rsidP="00032574">
            <w:pPr>
              <w:spacing w:after="0"/>
              <w:rPr>
                <w:lang w:val="fr-FR"/>
              </w:rPr>
            </w:pPr>
            <w:r w:rsidRPr="00A463C5">
              <w:rPr>
                <w:lang w:val="fr-FR"/>
              </w:rPr>
              <w:t>3. Nécessite la transformation du stock en mesure de flux.</w:t>
            </w:r>
          </w:p>
          <w:p w14:paraId="0242BF01" w14:textId="77777777" w:rsidR="00032574" w:rsidRPr="00A463C5" w:rsidRDefault="00032574" w:rsidP="00032574">
            <w:pPr>
              <w:spacing w:after="0"/>
              <w:rPr>
                <w:lang w:val="fr-FR"/>
              </w:rPr>
            </w:pPr>
            <w:r w:rsidRPr="00A463C5">
              <w:rPr>
                <w:lang w:val="fr-FR"/>
              </w:rPr>
              <w:t xml:space="preserve">4. La consommation </w:t>
            </w:r>
            <w:r>
              <w:rPr>
                <w:lang w:val="fr-FR"/>
              </w:rPr>
              <w:t>du patrimoine</w:t>
            </w:r>
            <w:r w:rsidRPr="00A463C5">
              <w:rPr>
                <w:lang w:val="fr-FR"/>
              </w:rPr>
              <w:t xml:space="preserve"> n'est pas prise en compte.</w:t>
            </w:r>
          </w:p>
          <w:p w14:paraId="55A64A66" w14:textId="77777777" w:rsidR="00032574" w:rsidRPr="00A463C5" w:rsidRDefault="00032574" w:rsidP="00032574">
            <w:pPr>
              <w:spacing w:after="0"/>
              <w:rPr>
                <w:lang w:val="fr-FR"/>
              </w:rPr>
            </w:pPr>
            <w:r w:rsidRPr="00A463C5">
              <w:rPr>
                <w:lang w:val="fr-FR"/>
              </w:rPr>
              <w:t>5. Certaines classes d'</w:t>
            </w:r>
            <w:r>
              <w:rPr>
                <w:lang w:val="fr-FR"/>
              </w:rPr>
              <w:t>avoirs</w:t>
            </w:r>
            <w:r w:rsidRPr="00A463C5">
              <w:rPr>
                <w:lang w:val="fr-FR"/>
              </w:rPr>
              <w:t xml:space="preserve"> (par exemple, l'art, l'immobilier ou les cryptomonnaies) ne sont pas prises en compte.</w:t>
            </w:r>
          </w:p>
          <w:p w14:paraId="67811E5F" w14:textId="77777777" w:rsidR="00032574" w:rsidRPr="00A463C5" w:rsidRDefault="00032574" w:rsidP="00032574">
            <w:pPr>
              <w:spacing w:after="0"/>
              <w:rPr>
                <w:lang w:val="fr-FR"/>
              </w:rPr>
            </w:pPr>
            <w:r w:rsidRPr="00A463C5">
              <w:rPr>
                <w:lang w:val="fr-FR"/>
              </w:rPr>
              <w:t xml:space="preserve">6. La (non)disponibilité des données. </w:t>
            </w:r>
          </w:p>
          <w:p w14:paraId="4ABB4015" w14:textId="5F7701E5" w:rsidR="00B23307" w:rsidRPr="00A463C5" w:rsidRDefault="00032574" w:rsidP="00032574">
            <w:pPr>
              <w:spacing w:after="0"/>
              <w:rPr>
                <w:lang w:val="fr-FR"/>
              </w:rPr>
            </w:pPr>
            <w:r w:rsidRPr="00A463C5">
              <w:rPr>
                <w:lang w:val="fr-FR"/>
              </w:rPr>
              <w:t xml:space="preserve">7. Ne produit que des </w:t>
            </w:r>
            <w:r>
              <w:rPr>
                <w:lang w:val="fr-FR"/>
              </w:rPr>
              <w:t>FFI</w:t>
            </w:r>
            <w:r w:rsidRPr="00A463C5">
              <w:rPr>
                <w:lang w:val="fr-FR"/>
              </w:rPr>
              <w:t xml:space="preserve"> sortants dans certaines circonstances.</w:t>
            </w:r>
          </w:p>
        </w:tc>
      </w:tr>
      <w:tr w:rsidR="00B23307" w:rsidRPr="00A463C5" w14:paraId="3E3B05F1" w14:textId="77777777" w:rsidTr="00606C69">
        <w:tc>
          <w:tcPr>
            <w:tcW w:w="4530" w:type="dxa"/>
            <w:gridSpan w:val="3"/>
            <w:shd w:val="clear" w:color="auto" w:fill="DEEAF6" w:themeFill="accent5" w:themeFillTint="33"/>
          </w:tcPr>
          <w:p w14:paraId="7CA8BDC5" w14:textId="77777777" w:rsidR="00B23307" w:rsidRPr="00A463C5" w:rsidRDefault="00B23307" w:rsidP="00606C69">
            <w:pPr>
              <w:spacing w:after="0"/>
              <w:rPr>
                <w:lang w:val="fr-FR"/>
              </w:rPr>
            </w:pPr>
            <w:r w:rsidRPr="00A463C5">
              <w:rPr>
                <w:noProof/>
                <w:lang w:val="fr-FR"/>
              </w:rPr>
              <w:drawing>
                <wp:inline distT="0" distB="0" distL="0" distR="0" wp14:anchorId="44A78403" wp14:editId="69803F5A">
                  <wp:extent cx="288000" cy="288000"/>
                  <wp:effectExtent l="0" t="0" r="0" b="0"/>
                  <wp:docPr id="53" name="Graphic 5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3"/>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r w:rsidRPr="00A463C5">
              <w:rPr>
                <w:b/>
                <w:bCs/>
                <w:lang w:val="fr-FR"/>
              </w:rPr>
              <w:t>Sources de données</w:t>
            </w:r>
          </w:p>
        </w:tc>
        <w:tc>
          <w:tcPr>
            <w:tcW w:w="4532" w:type="dxa"/>
            <w:gridSpan w:val="3"/>
            <w:shd w:val="clear" w:color="auto" w:fill="DEEAF6" w:themeFill="accent5" w:themeFillTint="33"/>
          </w:tcPr>
          <w:p w14:paraId="70852074" w14:textId="77777777" w:rsidR="00B23307" w:rsidRPr="00A463C5" w:rsidRDefault="00B23307" w:rsidP="00606C69">
            <w:pPr>
              <w:spacing w:after="0"/>
              <w:rPr>
                <w:lang w:val="fr-FR"/>
              </w:rPr>
            </w:pPr>
            <w:r w:rsidRPr="00A463C5">
              <w:rPr>
                <w:noProof/>
                <w:lang w:val="fr-FR"/>
              </w:rPr>
              <w:drawing>
                <wp:inline distT="0" distB="0" distL="0" distR="0" wp14:anchorId="780B5ED8" wp14:editId="67428E09">
                  <wp:extent cx="288000" cy="288000"/>
                  <wp:effectExtent l="0" t="0" r="0" b="0"/>
                  <wp:docPr id="56" name="Graphic 56"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6"/>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Atténuation des limitations </w:t>
            </w:r>
          </w:p>
        </w:tc>
      </w:tr>
      <w:tr w:rsidR="00B23307" w:rsidRPr="004A729B" w14:paraId="35DFF722" w14:textId="77777777" w:rsidTr="00606C69">
        <w:tc>
          <w:tcPr>
            <w:tcW w:w="4530" w:type="dxa"/>
            <w:gridSpan w:val="3"/>
          </w:tcPr>
          <w:p w14:paraId="795FB581" w14:textId="77777777" w:rsidR="00B23307" w:rsidRPr="00A463C5" w:rsidRDefault="00B23307" w:rsidP="00606C69">
            <w:pPr>
              <w:spacing w:after="0"/>
              <w:rPr>
                <w:lang w:val="fr-FR"/>
              </w:rPr>
            </w:pPr>
            <w:r w:rsidRPr="00A463C5">
              <w:rPr>
                <w:lang w:val="fr-FR"/>
              </w:rPr>
              <w:t xml:space="preserve">1. Banque des règlements internationaux (BRI), par </w:t>
            </w:r>
            <w:r>
              <w:rPr>
                <w:lang w:val="fr-FR"/>
              </w:rPr>
              <w:t>pays</w:t>
            </w:r>
            <w:r w:rsidRPr="00A463C5">
              <w:rPr>
                <w:lang w:val="fr-FR"/>
              </w:rPr>
              <w:t>.</w:t>
            </w:r>
          </w:p>
          <w:p w14:paraId="67C31697" w14:textId="77777777" w:rsidR="00B23307" w:rsidRPr="00A463C5" w:rsidRDefault="00B23307" w:rsidP="00606C69">
            <w:pPr>
              <w:spacing w:after="0"/>
              <w:rPr>
                <w:lang w:val="fr-FR"/>
              </w:rPr>
            </w:pPr>
            <w:r w:rsidRPr="00A463C5">
              <w:rPr>
                <w:lang w:val="fr-FR"/>
              </w:rPr>
              <w:t xml:space="preserve">2. Norme commune de déclaration de l'OCDE. </w:t>
            </w:r>
          </w:p>
          <w:p w14:paraId="42467B18" w14:textId="77777777" w:rsidR="00B23307" w:rsidRPr="00A463C5" w:rsidRDefault="00B23307" w:rsidP="00606C69">
            <w:pPr>
              <w:spacing w:after="0"/>
              <w:rPr>
                <w:lang w:val="fr-FR"/>
              </w:rPr>
            </w:pPr>
            <w:r w:rsidRPr="00A463C5">
              <w:rPr>
                <w:lang w:val="fr-FR"/>
              </w:rPr>
              <w:t xml:space="preserve">3. Les autorités fiscales nationales. </w:t>
            </w:r>
          </w:p>
        </w:tc>
        <w:tc>
          <w:tcPr>
            <w:tcW w:w="4532" w:type="dxa"/>
            <w:gridSpan w:val="3"/>
          </w:tcPr>
          <w:p w14:paraId="24ED1233" w14:textId="77777777" w:rsidR="00B23307" w:rsidRPr="00A463C5" w:rsidRDefault="00B23307" w:rsidP="00606C69">
            <w:pPr>
              <w:spacing w:after="0"/>
              <w:rPr>
                <w:lang w:val="fr-FR"/>
              </w:rPr>
            </w:pPr>
            <w:r w:rsidRPr="00A463C5">
              <w:rPr>
                <w:lang w:val="fr-FR"/>
              </w:rPr>
              <w:t>Données détaillées et supplémentaires par pays, y compris l'échange de données dans un environnement statistique sûr.</w:t>
            </w:r>
          </w:p>
        </w:tc>
      </w:tr>
      <w:tr w:rsidR="00B23307" w:rsidRPr="00A463C5" w14:paraId="09C761D4" w14:textId="77777777" w:rsidTr="00606C69">
        <w:tc>
          <w:tcPr>
            <w:tcW w:w="9062" w:type="dxa"/>
            <w:gridSpan w:val="6"/>
            <w:shd w:val="clear" w:color="auto" w:fill="DEEAF6" w:themeFill="accent5" w:themeFillTint="33"/>
          </w:tcPr>
          <w:p w14:paraId="6C18AD90" w14:textId="77777777" w:rsidR="00B23307" w:rsidRPr="00A463C5" w:rsidRDefault="00B23307" w:rsidP="00606C69">
            <w:pPr>
              <w:spacing w:after="0"/>
              <w:rPr>
                <w:lang w:val="fr-FR"/>
              </w:rPr>
            </w:pPr>
            <w:r w:rsidRPr="00A463C5">
              <w:rPr>
                <w:noProof/>
                <w:lang w:val="fr-FR"/>
              </w:rPr>
              <w:drawing>
                <wp:inline distT="0" distB="0" distL="0" distR="0" wp14:anchorId="7F4FDBFD" wp14:editId="35B76841">
                  <wp:extent cx="288000" cy="288000"/>
                  <wp:effectExtent l="0" t="0" r="0" b="0"/>
                  <wp:docPr id="57" name="Graphic 5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7"/>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Calcul </w:t>
            </w:r>
          </w:p>
        </w:tc>
      </w:tr>
      <w:tr w:rsidR="00B23307" w:rsidRPr="004A729B" w14:paraId="24FDE61B" w14:textId="77777777" w:rsidTr="00606C69">
        <w:tc>
          <w:tcPr>
            <w:tcW w:w="9062" w:type="dxa"/>
            <w:gridSpan w:val="6"/>
          </w:tcPr>
          <w:p w14:paraId="4100C6E0" w14:textId="77777777" w:rsidR="00B23307" w:rsidRPr="00A463C5" w:rsidRDefault="00B23307" w:rsidP="00606C69">
            <w:pPr>
              <w:spacing w:after="0"/>
              <w:rPr>
                <w:lang w:val="fr-FR"/>
              </w:rPr>
            </w:pPr>
            <w:r w:rsidRPr="00A463C5">
              <w:rPr>
                <w:lang w:val="fr-FR"/>
              </w:rPr>
              <w:t>1. Calculer les avoirs non déclarés des citoyens.</w:t>
            </w:r>
          </w:p>
          <w:p w14:paraId="55DA5671" w14:textId="77777777" w:rsidR="00B23307" w:rsidRPr="00A463C5" w:rsidRDefault="00B23307" w:rsidP="00606C69">
            <w:pPr>
              <w:spacing w:after="0"/>
              <w:rPr>
                <w:lang w:val="fr-FR"/>
              </w:rPr>
            </w:pPr>
            <w:r w:rsidRPr="00A463C5">
              <w:rPr>
                <w:lang w:val="fr-FR"/>
              </w:rPr>
              <w:t xml:space="preserve">2. Transformer en flux. </w:t>
            </w:r>
          </w:p>
          <w:p w14:paraId="34330970" w14:textId="77777777" w:rsidR="00B23307" w:rsidRPr="00A463C5" w:rsidRDefault="00B23307" w:rsidP="00606C69">
            <w:pPr>
              <w:spacing w:after="0"/>
              <w:rPr>
                <w:lang w:val="fr-FR"/>
              </w:rPr>
            </w:pPr>
            <w:r w:rsidRPr="00A463C5">
              <w:rPr>
                <w:lang w:val="fr-FR"/>
              </w:rPr>
              <w:t xml:space="preserve">3. Déterminer les flux sortants des </w:t>
            </w:r>
            <w:r>
              <w:rPr>
                <w:lang w:val="fr-FR"/>
              </w:rPr>
              <w:t>FFI</w:t>
            </w:r>
            <w:r w:rsidRPr="00A463C5">
              <w:rPr>
                <w:lang w:val="fr-FR"/>
              </w:rPr>
              <w:t xml:space="preserve">.  </w:t>
            </w:r>
          </w:p>
        </w:tc>
      </w:tr>
      <w:tr w:rsidR="00B23307" w:rsidRPr="00A463C5" w14:paraId="069D24F3" w14:textId="77777777" w:rsidTr="00606C69">
        <w:tc>
          <w:tcPr>
            <w:tcW w:w="9062" w:type="dxa"/>
            <w:gridSpan w:val="6"/>
            <w:shd w:val="clear" w:color="auto" w:fill="DEEAF6" w:themeFill="accent5" w:themeFillTint="33"/>
          </w:tcPr>
          <w:p w14:paraId="3B715A2C" w14:textId="77777777" w:rsidR="00B23307" w:rsidRPr="00A463C5" w:rsidRDefault="00B23307" w:rsidP="00606C69">
            <w:pPr>
              <w:spacing w:after="0"/>
              <w:rPr>
                <w:lang w:val="fr-FR"/>
              </w:rPr>
            </w:pPr>
            <w:r w:rsidRPr="00A463C5">
              <w:rPr>
                <w:noProof/>
                <w:lang w:val="fr-FR"/>
              </w:rPr>
              <w:drawing>
                <wp:inline distT="0" distB="0" distL="0" distR="0" wp14:anchorId="58275C74" wp14:editId="7912BBFB">
                  <wp:extent cx="288000" cy="288000"/>
                  <wp:effectExtent l="0" t="0" r="0" b="0"/>
                  <wp:docPr id="58" name="Graphic 58"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8"/>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8000" cy="288000"/>
                          </a:xfrm>
                          <a:prstGeom prst="rect">
                            <a:avLst/>
                          </a:prstGeom>
                        </pic:spPr>
                      </pic:pic>
                    </a:graphicData>
                  </a:graphic>
                </wp:inline>
              </w:drawing>
            </w:r>
            <w:r w:rsidRPr="00A463C5">
              <w:rPr>
                <w:b/>
                <w:bCs/>
                <w:lang w:val="fr-FR"/>
              </w:rPr>
              <w:t>Résultats</w:t>
            </w:r>
          </w:p>
        </w:tc>
      </w:tr>
      <w:tr w:rsidR="00B23307" w:rsidRPr="004A729B" w14:paraId="5A35A8E7" w14:textId="77777777" w:rsidTr="00606C69">
        <w:tc>
          <w:tcPr>
            <w:tcW w:w="9062" w:type="dxa"/>
            <w:gridSpan w:val="6"/>
          </w:tcPr>
          <w:p w14:paraId="559F4562" w14:textId="77777777" w:rsidR="00B23307" w:rsidRPr="00A463C5" w:rsidRDefault="00B23307" w:rsidP="00606C69">
            <w:pPr>
              <w:spacing w:after="0"/>
              <w:rPr>
                <w:lang w:val="fr-FR"/>
              </w:rPr>
            </w:pPr>
            <w:r w:rsidRPr="00560000">
              <w:rPr>
                <w:lang w:val="fr-FR"/>
              </w:rPr>
              <w:lastRenderedPageBreak/>
              <w:t>Les résultats sont présentés annuellement pour l'ensemble de l’économie</w:t>
            </w:r>
            <w:r w:rsidRPr="00A463C5">
              <w:rPr>
                <w:lang w:val="fr-FR"/>
              </w:rPr>
              <w:t xml:space="preserve"> : uniquement</w:t>
            </w:r>
            <w:r>
              <w:rPr>
                <w:lang w:val="fr-FR"/>
              </w:rPr>
              <w:t xml:space="preserve"> les</w:t>
            </w:r>
            <w:r w:rsidRPr="00A463C5">
              <w:rPr>
                <w:lang w:val="fr-FR"/>
              </w:rPr>
              <w:t xml:space="preserve"> </w:t>
            </w:r>
            <w:r>
              <w:rPr>
                <w:lang w:val="fr-FR"/>
              </w:rPr>
              <w:t>FFI sortants</w:t>
            </w:r>
            <w:r w:rsidRPr="00A463C5">
              <w:rPr>
                <w:lang w:val="fr-FR"/>
              </w:rPr>
              <w:t>.</w:t>
            </w:r>
          </w:p>
        </w:tc>
      </w:tr>
      <w:tr w:rsidR="00B23307" w:rsidRPr="00A463C5" w14:paraId="4F55117E" w14:textId="77777777" w:rsidTr="00606C69">
        <w:tc>
          <w:tcPr>
            <w:tcW w:w="9062" w:type="dxa"/>
            <w:gridSpan w:val="6"/>
            <w:shd w:val="clear" w:color="auto" w:fill="DEEAF6" w:themeFill="accent5" w:themeFillTint="33"/>
          </w:tcPr>
          <w:p w14:paraId="579D79C3" w14:textId="77777777" w:rsidR="00B23307" w:rsidRPr="00A463C5" w:rsidRDefault="00B23307" w:rsidP="00606C69">
            <w:pPr>
              <w:spacing w:after="0"/>
              <w:rPr>
                <w:lang w:val="fr-FR"/>
              </w:rPr>
            </w:pPr>
            <w:r w:rsidRPr="00A463C5">
              <w:rPr>
                <w:noProof/>
                <w:lang w:val="fr-FR"/>
              </w:rPr>
              <w:drawing>
                <wp:inline distT="0" distB="0" distL="0" distR="0" wp14:anchorId="5EC29753" wp14:editId="6A3430D4">
                  <wp:extent cx="288000" cy="288000"/>
                  <wp:effectExtent l="0" t="0" r="0" b="0"/>
                  <wp:docPr id="59" name="Graphic 59"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9"/>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Note(s) spéciale(s) </w:t>
            </w:r>
          </w:p>
        </w:tc>
      </w:tr>
      <w:tr w:rsidR="00B23307" w:rsidRPr="004A729B" w14:paraId="751D3A2A" w14:textId="77777777" w:rsidTr="00606C69">
        <w:tc>
          <w:tcPr>
            <w:tcW w:w="9062" w:type="dxa"/>
            <w:gridSpan w:val="6"/>
          </w:tcPr>
          <w:p w14:paraId="0D8CFEF2" w14:textId="77777777" w:rsidR="00B23307" w:rsidRPr="00A463C5" w:rsidRDefault="00B23307" w:rsidP="00606C69">
            <w:pPr>
              <w:spacing w:after="0"/>
              <w:rPr>
                <w:lang w:val="fr-FR"/>
              </w:rPr>
            </w:pPr>
            <w:r w:rsidRPr="00A463C5">
              <w:rPr>
                <w:lang w:val="fr-FR"/>
              </w:rPr>
              <w:t xml:space="preserve">Les flux sortants ne sont obtenus qu'en utilisant des hypothèses et si les circonstances sont favorables. Il n'est pas facile de déterminer les flux entrants des </w:t>
            </w:r>
            <w:r>
              <w:rPr>
                <w:lang w:val="fr-FR"/>
              </w:rPr>
              <w:t>FFI</w:t>
            </w:r>
            <w:r w:rsidRPr="00A463C5">
              <w:rPr>
                <w:lang w:val="fr-FR"/>
              </w:rPr>
              <w:t xml:space="preserve"> en utilisant cette méthode.</w:t>
            </w:r>
          </w:p>
        </w:tc>
      </w:tr>
      <w:tr w:rsidR="00B23307" w:rsidRPr="00A463C5" w14:paraId="1BE4CB2B" w14:textId="77777777" w:rsidTr="00606C69">
        <w:tc>
          <w:tcPr>
            <w:tcW w:w="9062" w:type="dxa"/>
            <w:gridSpan w:val="6"/>
            <w:shd w:val="clear" w:color="auto" w:fill="DEEAF6" w:themeFill="accent5" w:themeFillTint="33"/>
          </w:tcPr>
          <w:p w14:paraId="7D4D5C8F" w14:textId="77777777" w:rsidR="00B23307" w:rsidRPr="00A463C5" w:rsidRDefault="00B23307" w:rsidP="00606C69">
            <w:pPr>
              <w:spacing w:after="0"/>
              <w:rPr>
                <w:lang w:val="fr-FR"/>
              </w:rPr>
            </w:pPr>
            <w:r w:rsidRPr="00A463C5">
              <w:rPr>
                <w:noProof/>
                <w:lang w:val="fr-FR"/>
              </w:rPr>
              <w:drawing>
                <wp:inline distT="0" distB="0" distL="0" distR="0" wp14:anchorId="6F422182" wp14:editId="570C7907">
                  <wp:extent cx="288000" cy="288000"/>
                  <wp:effectExtent l="0" t="0" r="0" b="0"/>
                  <wp:docPr id="60" name="Graphic 60"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0"/>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8000" cy="288000"/>
                          </a:xfrm>
                          <a:prstGeom prst="rect">
                            <a:avLst/>
                          </a:prstGeom>
                        </pic:spPr>
                      </pic:pic>
                    </a:graphicData>
                  </a:graphic>
                </wp:inline>
              </w:drawing>
            </w:r>
            <w:r w:rsidRPr="00A463C5">
              <w:rPr>
                <w:b/>
                <w:bCs/>
                <w:lang w:val="fr-FR"/>
              </w:rPr>
              <w:t>Études de cas</w:t>
            </w:r>
          </w:p>
        </w:tc>
      </w:tr>
      <w:tr w:rsidR="00B23307" w:rsidRPr="004A729B" w14:paraId="10ABC63C" w14:textId="77777777" w:rsidTr="00606C69">
        <w:tc>
          <w:tcPr>
            <w:tcW w:w="9062" w:type="dxa"/>
            <w:gridSpan w:val="6"/>
          </w:tcPr>
          <w:p w14:paraId="3352F5C8" w14:textId="77777777" w:rsidR="00B23307" w:rsidRPr="004027D0" w:rsidRDefault="00B23307" w:rsidP="00606C69">
            <w:pPr>
              <w:spacing w:after="0"/>
              <w:rPr>
                <w:lang w:val="fr-FR"/>
              </w:rPr>
            </w:pPr>
            <w:r w:rsidRPr="004027D0">
              <w:rPr>
                <w:lang w:val="fr-FR"/>
              </w:rPr>
              <w:t>1. Virements bancaires transfrontaliers italiens (Cassetta et al., 2014).</w:t>
            </w:r>
          </w:p>
        </w:tc>
      </w:tr>
    </w:tbl>
    <w:p w14:paraId="28E0B7B3" w14:textId="77777777" w:rsidR="00B23307" w:rsidRPr="00A463C5" w:rsidRDefault="00B23307" w:rsidP="00B23307">
      <w:pPr>
        <w:rPr>
          <w:lang w:val="fr-FR"/>
        </w:rPr>
      </w:pPr>
      <w:r w:rsidRPr="00A463C5">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845"/>
      </w:tblGrid>
      <w:tr w:rsidR="00B23307" w:rsidRPr="004A729B" w14:paraId="6414044F" w14:textId="77777777" w:rsidTr="00606C69">
        <w:tc>
          <w:tcPr>
            <w:tcW w:w="2265" w:type="dxa"/>
            <w:tcBorders>
              <w:right w:val="nil"/>
            </w:tcBorders>
            <w:shd w:val="clear" w:color="auto" w:fill="DEEAF6" w:themeFill="accent5" w:themeFillTint="33"/>
          </w:tcPr>
          <w:p w14:paraId="4FF427F1" w14:textId="77777777" w:rsidR="00B23307" w:rsidRPr="00A463C5" w:rsidRDefault="00B23307" w:rsidP="00606C69">
            <w:pPr>
              <w:spacing w:after="0"/>
              <w:rPr>
                <w:lang w:val="fr-FR"/>
              </w:rPr>
            </w:pPr>
            <w:r w:rsidRPr="00A463C5">
              <w:rPr>
                <w:b/>
                <w:bCs/>
                <w:lang w:val="fr-FR"/>
              </w:rPr>
              <w:lastRenderedPageBreak/>
              <w:t>Fiche d'information sur la méthode</w:t>
            </w:r>
          </w:p>
        </w:tc>
        <w:tc>
          <w:tcPr>
            <w:tcW w:w="6797" w:type="dxa"/>
            <w:gridSpan w:val="5"/>
            <w:tcBorders>
              <w:left w:val="nil"/>
            </w:tcBorders>
            <w:shd w:val="clear" w:color="auto" w:fill="DEEAF6" w:themeFill="accent5" w:themeFillTint="33"/>
          </w:tcPr>
          <w:p w14:paraId="64AD2130" w14:textId="77777777" w:rsidR="00B23307" w:rsidRPr="00A463C5" w:rsidRDefault="00B23307" w:rsidP="00606C69">
            <w:pPr>
              <w:spacing w:after="0"/>
              <w:jc w:val="right"/>
              <w:rPr>
                <w:b/>
                <w:bCs/>
                <w:lang w:val="fr-FR"/>
              </w:rPr>
            </w:pPr>
            <w:r>
              <w:rPr>
                <w:b/>
                <w:bCs/>
                <w:lang w:val="fr-FR"/>
              </w:rPr>
              <w:t xml:space="preserve">        </w:t>
            </w:r>
            <w:r w:rsidRPr="00A463C5">
              <w:rPr>
                <w:b/>
                <w:bCs/>
                <w:lang w:val="fr-FR"/>
              </w:rPr>
              <w:t xml:space="preserve">DIRECTIVES MÉTHODOLOGIQUES POUR MESURER </w:t>
            </w:r>
          </w:p>
          <w:p w14:paraId="60DF2A11" w14:textId="77777777" w:rsidR="00B23307" w:rsidRPr="00A463C5" w:rsidRDefault="00B23307" w:rsidP="00606C69">
            <w:pPr>
              <w:spacing w:after="0"/>
              <w:jc w:val="right"/>
              <w:rPr>
                <w:b/>
                <w:bCs/>
                <w:lang w:val="fr-FR"/>
              </w:rPr>
            </w:pPr>
            <w:r w:rsidRPr="00A463C5">
              <w:rPr>
                <w:b/>
                <w:bCs/>
                <w:lang w:val="fr-FR"/>
              </w:rPr>
              <w:t xml:space="preserve">LES FLUX FINANCIERS ILLICITES FISCAUX ET COMMERCIAUX </w:t>
            </w:r>
          </w:p>
          <w:p w14:paraId="6C5DC323" w14:textId="3497C1F5" w:rsidR="00B23307" w:rsidRPr="00A463C5" w:rsidRDefault="00B23307" w:rsidP="00606C69">
            <w:pPr>
              <w:spacing w:after="0"/>
              <w:jc w:val="right"/>
              <w:rPr>
                <w:b/>
                <w:bCs/>
                <w:sz w:val="20"/>
                <w:szCs w:val="20"/>
                <w:lang w:val="fr-FR"/>
              </w:rPr>
            </w:pPr>
            <w:r w:rsidRPr="00A463C5">
              <w:rPr>
                <w:b/>
                <w:bCs/>
                <w:sz w:val="20"/>
                <w:szCs w:val="20"/>
                <w:lang w:val="fr-FR"/>
              </w:rPr>
              <w:t xml:space="preserve">Méthodes pour les </w:t>
            </w:r>
            <w:r w:rsidR="00E302C1">
              <w:rPr>
                <w:b/>
                <w:bCs/>
                <w:sz w:val="20"/>
                <w:szCs w:val="20"/>
                <w:lang w:val="fr-FR"/>
              </w:rPr>
              <w:t>tests</w:t>
            </w:r>
            <w:r w:rsidRPr="00A463C5">
              <w:rPr>
                <w:b/>
                <w:bCs/>
                <w:sz w:val="20"/>
                <w:szCs w:val="20"/>
                <w:lang w:val="fr-FR"/>
              </w:rPr>
              <w:t xml:space="preserve"> pilotes</w:t>
            </w:r>
          </w:p>
        </w:tc>
      </w:tr>
      <w:tr w:rsidR="00B23307" w:rsidRPr="004A729B" w14:paraId="0954A1B2" w14:textId="77777777" w:rsidTr="00606C69">
        <w:tc>
          <w:tcPr>
            <w:tcW w:w="2405" w:type="dxa"/>
            <w:gridSpan w:val="2"/>
            <w:shd w:val="clear" w:color="auto" w:fill="DEEAF6" w:themeFill="accent5" w:themeFillTint="33"/>
          </w:tcPr>
          <w:p w14:paraId="6EF6286F" w14:textId="77777777" w:rsidR="00B23307" w:rsidRPr="00A463C5" w:rsidRDefault="00B23307" w:rsidP="00606C69">
            <w:pPr>
              <w:spacing w:after="0"/>
              <w:rPr>
                <w:b/>
                <w:bCs/>
                <w:lang w:val="fr-FR"/>
              </w:rPr>
            </w:pPr>
            <w:r w:rsidRPr="00A463C5">
              <w:rPr>
                <w:b/>
                <w:bCs/>
                <w:lang w:val="fr-FR"/>
              </w:rPr>
              <w:t>Titre de la méthode</w:t>
            </w:r>
          </w:p>
        </w:tc>
        <w:tc>
          <w:tcPr>
            <w:tcW w:w="6657" w:type="dxa"/>
            <w:gridSpan w:val="4"/>
          </w:tcPr>
          <w:p w14:paraId="747A0D14" w14:textId="38A67F51" w:rsidR="00B23307" w:rsidRPr="00A463C5" w:rsidRDefault="00B23307" w:rsidP="00606C69">
            <w:pPr>
              <w:spacing w:after="0"/>
              <w:rPr>
                <w:lang w:val="fr-FR"/>
              </w:rPr>
            </w:pPr>
            <w:r w:rsidRPr="00A463C5">
              <w:rPr>
                <w:lang w:val="fr-FR"/>
              </w:rPr>
              <w:t xml:space="preserve">#6 </w:t>
            </w:r>
            <w:r w:rsidR="00383218" w:rsidRPr="00A463C5">
              <w:rPr>
                <w:lang w:val="fr-FR"/>
              </w:rPr>
              <w:t xml:space="preserve">Flux de </w:t>
            </w:r>
            <w:r w:rsidR="00383218">
              <w:rPr>
                <w:lang w:val="fr-FR"/>
              </w:rPr>
              <w:t>patrimoine financier offshore</w:t>
            </w:r>
            <w:r w:rsidR="00383218" w:rsidRPr="00A463C5">
              <w:rPr>
                <w:lang w:val="fr-FR"/>
              </w:rPr>
              <w:t xml:space="preserve"> par pays</w:t>
            </w:r>
          </w:p>
        </w:tc>
      </w:tr>
      <w:tr w:rsidR="00B23307" w:rsidRPr="00A463C5" w14:paraId="6381C231" w14:textId="77777777" w:rsidTr="00606C69">
        <w:tc>
          <w:tcPr>
            <w:tcW w:w="2405" w:type="dxa"/>
            <w:gridSpan w:val="2"/>
            <w:shd w:val="clear" w:color="auto" w:fill="DEEAF6" w:themeFill="accent5" w:themeFillTint="33"/>
          </w:tcPr>
          <w:p w14:paraId="0ECBCCA9" w14:textId="77777777" w:rsidR="00B23307" w:rsidRPr="00A463C5" w:rsidRDefault="00B23307" w:rsidP="00606C69">
            <w:pPr>
              <w:spacing w:after="0"/>
              <w:rPr>
                <w:b/>
                <w:bCs/>
                <w:lang w:val="fr-FR"/>
              </w:rPr>
            </w:pPr>
            <w:r w:rsidRPr="00A463C5">
              <w:rPr>
                <w:b/>
                <w:bCs/>
                <w:lang w:val="fr-FR"/>
              </w:rPr>
              <w:t>Titre(s) alternatif(s)</w:t>
            </w:r>
          </w:p>
        </w:tc>
        <w:tc>
          <w:tcPr>
            <w:tcW w:w="6657" w:type="dxa"/>
            <w:gridSpan w:val="4"/>
          </w:tcPr>
          <w:p w14:paraId="3B771C34" w14:textId="77777777" w:rsidR="00B23307" w:rsidRPr="00A463C5" w:rsidRDefault="00B23307" w:rsidP="00606C69">
            <w:pPr>
              <w:spacing w:after="0"/>
              <w:rPr>
                <w:lang w:val="fr-FR"/>
              </w:rPr>
            </w:pPr>
          </w:p>
        </w:tc>
      </w:tr>
      <w:tr w:rsidR="00B23307" w:rsidRPr="004A729B" w14:paraId="01149FEC" w14:textId="77777777" w:rsidTr="00606C69">
        <w:tc>
          <w:tcPr>
            <w:tcW w:w="2405" w:type="dxa"/>
            <w:gridSpan w:val="2"/>
            <w:shd w:val="clear" w:color="auto" w:fill="DEEAF6" w:themeFill="accent5" w:themeFillTint="33"/>
          </w:tcPr>
          <w:p w14:paraId="0403C0B3" w14:textId="77777777" w:rsidR="00B23307" w:rsidRPr="00A463C5" w:rsidRDefault="00B23307" w:rsidP="00606C69">
            <w:pPr>
              <w:spacing w:after="0"/>
              <w:rPr>
                <w:b/>
                <w:bCs/>
                <w:lang w:val="fr-FR"/>
              </w:rPr>
            </w:pPr>
            <w:r w:rsidRPr="00A463C5">
              <w:rPr>
                <w:b/>
                <w:bCs/>
                <w:lang w:val="fr-FR"/>
              </w:rPr>
              <w:t>Groupe de méthodes</w:t>
            </w:r>
          </w:p>
        </w:tc>
        <w:tc>
          <w:tcPr>
            <w:tcW w:w="6657" w:type="dxa"/>
            <w:gridSpan w:val="4"/>
          </w:tcPr>
          <w:p w14:paraId="1F043FE9" w14:textId="7BB554FA" w:rsidR="00B23307" w:rsidRPr="00A463C5" w:rsidRDefault="00D14FFF" w:rsidP="00606C69">
            <w:pPr>
              <w:spacing w:after="0"/>
              <w:rPr>
                <w:lang w:val="fr-FR"/>
              </w:rPr>
            </w:pPr>
            <w:r w:rsidRPr="009C76D6">
              <w:rPr>
                <w:lang w:val="fr-FR"/>
              </w:rPr>
              <w:t>Transfert de patrimoine par des particuliers afin d’échapper aux impôts</w:t>
            </w:r>
          </w:p>
        </w:tc>
      </w:tr>
      <w:tr w:rsidR="00B23307" w:rsidRPr="00A463C5" w14:paraId="69A39B67" w14:textId="77777777" w:rsidTr="00606C69">
        <w:tc>
          <w:tcPr>
            <w:tcW w:w="2405" w:type="dxa"/>
            <w:gridSpan w:val="2"/>
            <w:shd w:val="clear" w:color="auto" w:fill="DEEAF6" w:themeFill="accent5" w:themeFillTint="33"/>
          </w:tcPr>
          <w:p w14:paraId="0F47BEC9" w14:textId="77777777" w:rsidR="00B23307" w:rsidRPr="00A463C5" w:rsidRDefault="00B23307" w:rsidP="00606C69">
            <w:pPr>
              <w:spacing w:after="0"/>
              <w:rPr>
                <w:b/>
                <w:bCs/>
                <w:lang w:val="fr-FR"/>
              </w:rPr>
            </w:pPr>
            <w:r w:rsidRPr="00A463C5">
              <w:rPr>
                <w:b/>
                <w:bCs/>
                <w:lang w:val="fr-FR"/>
              </w:rPr>
              <w:t xml:space="preserve">Type de flux </w:t>
            </w:r>
            <w:r>
              <w:rPr>
                <w:b/>
                <w:bCs/>
                <w:lang w:val="fr-FR"/>
              </w:rPr>
              <w:t>FFI</w:t>
            </w:r>
            <w:r w:rsidRPr="00A463C5">
              <w:rPr>
                <w:b/>
                <w:bCs/>
                <w:lang w:val="fr-FR"/>
              </w:rPr>
              <w:t xml:space="preserve"> ciblés</w:t>
            </w:r>
          </w:p>
        </w:tc>
        <w:tc>
          <w:tcPr>
            <w:tcW w:w="3827" w:type="dxa"/>
            <w:gridSpan w:val="2"/>
          </w:tcPr>
          <w:p w14:paraId="4E6ED247" w14:textId="03DFC46C" w:rsidR="00B23307" w:rsidRPr="00A463C5" w:rsidRDefault="00B23307" w:rsidP="00606C69">
            <w:pPr>
              <w:spacing w:after="0"/>
              <w:rPr>
                <w:lang w:val="fr-FR"/>
              </w:rPr>
            </w:pPr>
            <w:r w:rsidRPr="00A463C5">
              <w:rPr>
                <w:lang w:val="fr-FR"/>
              </w:rPr>
              <w:t xml:space="preserve">F1 </w:t>
            </w:r>
            <w:r w:rsidR="00D9271F" w:rsidRPr="009C76D6">
              <w:rPr>
                <w:lang w:val="fr-FR"/>
              </w:rPr>
              <w:t>Transfert de patrimoine</w:t>
            </w:r>
            <w:r w:rsidR="00D9271F">
              <w:rPr>
                <w:lang w:val="fr-FR"/>
              </w:rPr>
              <w:t xml:space="preserve"> pour </w:t>
            </w:r>
            <w:r w:rsidR="00D9271F" w:rsidRPr="009C76D6">
              <w:rPr>
                <w:lang w:val="fr-FR"/>
              </w:rPr>
              <w:t>échapper aux impôts</w:t>
            </w:r>
          </w:p>
        </w:tc>
        <w:tc>
          <w:tcPr>
            <w:tcW w:w="1985" w:type="dxa"/>
            <w:shd w:val="clear" w:color="auto" w:fill="DEEAF6" w:themeFill="accent5" w:themeFillTint="33"/>
          </w:tcPr>
          <w:p w14:paraId="0C85C80C" w14:textId="77777777" w:rsidR="00B23307" w:rsidRPr="00A463C5" w:rsidRDefault="00B23307" w:rsidP="00606C69">
            <w:pPr>
              <w:spacing w:after="0"/>
              <w:rPr>
                <w:b/>
                <w:bCs/>
                <w:lang w:val="fr-FR"/>
              </w:rPr>
            </w:pPr>
            <w:r w:rsidRPr="00A463C5">
              <w:rPr>
                <w:b/>
                <w:bCs/>
                <w:lang w:val="fr-FR"/>
              </w:rPr>
              <w:t>Classification par niveau</w:t>
            </w:r>
          </w:p>
        </w:tc>
        <w:tc>
          <w:tcPr>
            <w:tcW w:w="845" w:type="dxa"/>
          </w:tcPr>
          <w:p w14:paraId="035832DB" w14:textId="77777777" w:rsidR="00B23307" w:rsidRPr="00A463C5" w:rsidRDefault="00B23307" w:rsidP="00606C69">
            <w:pPr>
              <w:spacing w:after="0"/>
              <w:rPr>
                <w:lang w:val="fr-FR"/>
              </w:rPr>
            </w:pPr>
            <w:r w:rsidRPr="00A463C5">
              <w:rPr>
                <w:lang w:val="fr-FR"/>
              </w:rPr>
              <w:t>Niveau 3</w:t>
            </w:r>
          </w:p>
        </w:tc>
      </w:tr>
      <w:tr w:rsidR="00B23307" w:rsidRPr="00A463C5" w14:paraId="08394097" w14:textId="77777777" w:rsidTr="00606C69">
        <w:tc>
          <w:tcPr>
            <w:tcW w:w="9062" w:type="dxa"/>
            <w:gridSpan w:val="6"/>
            <w:shd w:val="clear" w:color="auto" w:fill="DEEAF6" w:themeFill="accent5" w:themeFillTint="33"/>
          </w:tcPr>
          <w:p w14:paraId="448D9FD3" w14:textId="77777777" w:rsidR="00B23307" w:rsidRPr="00A463C5" w:rsidRDefault="00B23307" w:rsidP="00606C69">
            <w:pPr>
              <w:spacing w:after="0"/>
              <w:rPr>
                <w:lang w:val="fr-FR"/>
              </w:rPr>
            </w:pPr>
            <w:r w:rsidRPr="00A463C5">
              <w:rPr>
                <w:noProof/>
                <w:lang w:val="fr-FR"/>
              </w:rPr>
              <w:drawing>
                <wp:inline distT="0" distB="0" distL="0" distR="0" wp14:anchorId="148BE4AD" wp14:editId="55D0803C">
                  <wp:extent cx="288000" cy="288000"/>
                  <wp:effectExtent l="0" t="0" r="0" b="0"/>
                  <wp:docPr id="61" name="Graphic 6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Concept </w:t>
            </w:r>
          </w:p>
        </w:tc>
      </w:tr>
      <w:tr w:rsidR="00B23307" w:rsidRPr="004A729B" w14:paraId="2F66695F" w14:textId="77777777" w:rsidTr="00606C69">
        <w:tc>
          <w:tcPr>
            <w:tcW w:w="9062" w:type="dxa"/>
            <w:gridSpan w:val="6"/>
          </w:tcPr>
          <w:p w14:paraId="176F99A7" w14:textId="764E71D4" w:rsidR="00B23307" w:rsidRPr="00A463C5" w:rsidRDefault="00294F1C" w:rsidP="00606C69">
            <w:pPr>
              <w:spacing w:after="0"/>
              <w:rPr>
                <w:lang w:val="fr-FR"/>
              </w:rPr>
            </w:pPr>
            <w:r w:rsidRPr="00766AE1">
              <w:rPr>
                <w:lang w:val="fr-FR"/>
              </w:rPr>
              <w:t xml:space="preserve">La méthode repose sur le déséquilibre au niveau mondial entre les engagements et les actifs des portefeuilles internationaux, en l'attribuant </w:t>
            </w:r>
            <w:r>
              <w:rPr>
                <w:lang w:val="fr-FR"/>
              </w:rPr>
              <w:t>au patrimoine</w:t>
            </w:r>
            <w:r w:rsidRPr="00766AE1">
              <w:rPr>
                <w:lang w:val="fr-FR"/>
              </w:rPr>
              <w:t xml:space="preserve"> détenu par des individus en dehors de leur pays et non déclaré aux autorités fiscales </w:t>
            </w:r>
            <w:r>
              <w:rPr>
                <w:lang w:val="fr-FR"/>
              </w:rPr>
              <w:t>d’</w:t>
            </w:r>
            <w:r w:rsidRPr="00766AE1">
              <w:rPr>
                <w:lang w:val="fr-FR"/>
              </w:rPr>
              <w:t xml:space="preserve">où ils sont résidents. Le taux de non-conformité sur </w:t>
            </w:r>
            <w:r>
              <w:rPr>
                <w:lang w:val="fr-FR"/>
              </w:rPr>
              <w:t>le patrimoine offshore</w:t>
            </w:r>
            <w:r w:rsidRPr="00766AE1">
              <w:rPr>
                <w:lang w:val="fr-FR"/>
              </w:rPr>
              <w:t xml:space="preserve"> est appliqué, suivi de la transformation de la mesure du stock en flux pour identifier le niveau des flux illicites.</w:t>
            </w:r>
          </w:p>
        </w:tc>
      </w:tr>
      <w:tr w:rsidR="00B23307" w:rsidRPr="00A463C5" w14:paraId="1F76C7A9" w14:textId="77777777" w:rsidTr="00606C69">
        <w:tc>
          <w:tcPr>
            <w:tcW w:w="9062" w:type="dxa"/>
            <w:gridSpan w:val="6"/>
            <w:shd w:val="clear" w:color="auto" w:fill="DEEAF6" w:themeFill="accent5" w:themeFillTint="33"/>
          </w:tcPr>
          <w:p w14:paraId="06E522DA" w14:textId="77777777" w:rsidR="00B23307" w:rsidRPr="00A463C5" w:rsidRDefault="00B23307" w:rsidP="00606C69">
            <w:pPr>
              <w:spacing w:after="0"/>
              <w:rPr>
                <w:lang w:val="fr-FR"/>
              </w:rPr>
            </w:pPr>
            <w:r w:rsidRPr="00A463C5">
              <w:rPr>
                <w:noProof/>
                <w:lang w:val="fr-FR"/>
              </w:rPr>
              <w:drawing>
                <wp:inline distT="0" distB="0" distL="0" distR="0" wp14:anchorId="3AD47143" wp14:editId="0309EDA9">
                  <wp:extent cx="288000" cy="288000"/>
                  <wp:effectExtent l="0" t="0" r="0" b="0"/>
                  <wp:docPr id="62" name="Graphic 62"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2"/>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r w:rsidRPr="00A463C5">
              <w:rPr>
                <w:b/>
                <w:bCs/>
                <w:lang w:val="fr-FR"/>
              </w:rPr>
              <w:t>Hypothèses</w:t>
            </w:r>
          </w:p>
        </w:tc>
      </w:tr>
      <w:tr w:rsidR="00B23307" w:rsidRPr="004A729B" w14:paraId="17E98037" w14:textId="77777777" w:rsidTr="00606C69">
        <w:tc>
          <w:tcPr>
            <w:tcW w:w="9062" w:type="dxa"/>
            <w:gridSpan w:val="6"/>
          </w:tcPr>
          <w:p w14:paraId="26EF8E7D" w14:textId="77777777" w:rsidR="00CE7774" w:rsidRPr="00A463C5" w:rsidRDefault="00CE7774" w:rsidP="00CE7774">
            <w:pPr>
              <w:spacing w:after="0"/>
              <w:rPr>
                <w:lang w:val="fr-FR"/>
              </w:rPr>
            </w:pPr>
            <w:r w:rsidRPr="00A463C5">
              <w:rPr>
                <w:lang w:val="fr-FR"/>
              </w:rPr>
              <w:t xml:space="preserve">1. Patrimoine financier </w:t>
            </w:r>
            <w:r>
              <w:rPr>
                <w:lang w:val="fr-FR"/>
              </w:rPr>
              <w:t>offshore</w:t>
            </w:r>
            <w:r w:rsidRPr="00A463C5">
              <w:rPr>
                <w:lang w:val="fr-FR"/>
              </w:rPr>
              <w:t xml:space="preserve"> composé uniquement d'actifs de portefeuille et de dépôts (actifs immobiliers, œuvres d'art, assurance-vie, argent liquide, crypto</w:t>
            </w:r>
            <w:r>
              <w:rPr>
                <w:lang w:val="fr-FR"/>
              </w:rPr>
              <w:t>monnaies</w:t>
            </w:r>
            <w:r w:rsidRPr="00A463C5">
              <w:rPr>
                <w:lang w:val="fr-FR"/>
              </w:rPr>
              <w:t xml:space="preserve"> exclus).</w:t>
            </w:r>
          </w:p>
          <w:p w14:paraId="4F3A1D50" w14:textId="77777777" w:rsidR="00CE7774" w:rsidRPr="00A463C5" w:rsidRDefault="00CE7774" w:rsidP="00CE7774">
            <w:pPr>
              <w:spacing w:after="0"/>
              <w:rPr>
                <w:lang w:val="fr-FR"/>
              </w:rPr>
            </w:pPr>
            <w:r w:rsidRPr="00A463C5">
              <w:rPr>
                <w:lang w:val="fr-FR"/>
              </w:rPr>
              <w:t>2. Divise</w:t>
            </w:r>
            <w:r>
              <w:rPr>
                <w:lang w:val="fr-FR"/>
              </w:rPr>
              <w:t>r</w:t>
            </w:r>
            <w:r w:rsidRPr="00A463C5">
              <w:rPr>
                <w:lang w:val="fr-FR"/>
              </w:rPr>
              <w:t xml:space="preserve"> </w:t>
            </w:r>
            <w:r>
              <w:rPr>
                <w:lang w:val="fr-FR"/>
              </w:rPr>
              <w:t>le patrimoine offshore</w:t>
            </w:r>
            <w:r w:rsidRPr="00A463C5">
              <w:rPr>
                <w:lang w:val="fr-FR"/>
              </w:rPr>
              <w:t xml:space="preserve"> en dépôts et en investissements de portefeuille avec un ratio de 25% </w:t>
            </w:r>
            <w:r>
              <w:rPr>
                <w:lang w:val="fr-FR"/>
              </w:rPr>
              <w:t>-</w:t>
            </w:r>
            <w:r w:rsidRPr="00A463C5">
              <w:rPr>
                <w:lang w:val="fr-FR"/>
              </w:rPr>
              <w:t xml:space="preserve"> 75%.</w:t>
            </w:r>
          </w:p>
          <w:p w14:paraId="03835FFB" w14:textId="77777777" w:rsidR="00CE7774" w:rsidRPr="00A463C5" w:rsidRDefault="00CE7774" w:rsidP="00CE7774">
            <w:pPr>
              <w:spacing w:after="0"/>
              <w:rPr>
                <w:lang w:val="fr-FR"/>
              </w:rPr>
            </w:pPr>
            <w:r w:rsidRPr="00A463C5">
              <w:rPr>
                <w:lang w:val="fr-FR"/>
              </w:rPr>
              <w:t xml:space="preserve">3. </w:t>
            </w:r>
            <w:r w:rsidRPr="002C7AE9">
              <w:rPr>
                <w:lang w:val="fr-FR"/>
              </w:rPr>
              <w:t xml:space="preserve">Parts de propriété des dépôts transfrontaliers détenus par des particuliers dans des </w:t>
            </w:r>
            <w:r>
              <w:rPr>
                <w:lang w:val="fr-FR"/>
              </w:rPr>
              <w:t xml:space="preserve">centres financiers internationaux </w:t>
            </w:r>
            <w:r w:rsidRPr="002C7AE9">
              <w:rPr>
                <w:lang w:val="fr-FR"/>
              </w:rPr>
              <w:t>en tant que mandataires.</w:t>
            </w:r>
          </w:p>
          <w:p w14:paraId="6205D275" w14:textId="77777777" w:rsidR="00CE7774" w:rsidRPr="00A463C5" w:rsidRDefault="00CE7774" w:rsidP="00CE7774">
            <w:pPr>
              <w:spacing w:after="0"/>
              <w:rPr>
                <w:lang w:val="fr-FR"/>
              </w:rPr>
            </w:pPr>
            <w:r w:rsidRPr="00A463C5">
              <w:rPr>
                <w:lang w:val="fr-FR"/>
              </w:rPr>
              <w:t>4. On suppose qu'un pays ayant un stock important d'IDE sortants (par rapport au PIB) a une proportion importante de dépôts d'entreprises sortants.</w:t>
            </w:r>
          </w:p>
          <w:p w14:paraId="1467CE23" w14:textId="77777777" w:rsidR="00CE7774" w:rsidRPr="00A463C5" w:rsidRDefault="00CE7774" w:rsidP="00CE7774">
            <w:pPr>
              <w:spacing w:after="0"/>
              <w:rPr>
                <w:lang w:val="fr-FR"/>
              </w:rPr>
            </w:pPr>
            <w:r w:rsidRPr="00A463C5">
              <w:rPr>
                <w:lang w:val="fr-FR"/>
              </w:rPr>
              <w:t>5. Le taux de non-conformité est de 75 %.</w:t>
            </w:r>
          </w:p>
          <w:p w14:paraId="5E08EFEF" w14:textId="6D5BE350" w:rsidR="00B23307" w:rsidRPr="00A463C5" w:rsidRDefault="00CE7774" w:rsidP="00CE7774">
            <w:pPr>
              <w:spacing w:after="0"/>
              <w:rPr>
                <w:lang w:val="fr-FR"/>
              </w:rPr>
            </w:pPr>
            <w:r w:rsidRPr="00A463C5">
              <w:rPr>
                <w:lang w:val="fr-FR"/>
              </w:rPr>
              <w:t>6. La d</w:t>
            </w:r>
            <w:r>
              <w:rPr>
                <w:lang w:val="fr-FR"/>
              </w:rPr>
              <w:t>iff</w:t>
            </w:r>
            <w:r w:rsidRPr="00A463C5">
              <w:rPr>
                <w:lang w:val="fr-FR"/>
              </w:rPr>
              <w:t xml:space="preserve">érence entre la valeur </w:t>
            </w:r>
            <w:r>
              <w:rPr>
                <w:lang w:val="fr-FR"/>
              </w:rPr>
              <w:t>du patrimoine offshore</w:t>
            </w:r>
            <w:r w:rsidRPr="00A463C5">
              <w:rPr>
                <w:lang w:val="fr-FR"/>
              </w:rPr>
              <w:t xml:space="preserve"> de l'année en cours et celle de l'année précédente (corrigée pour l'évaluation des actifs) est une mesure des flux sortants de FFI.</w:t>
            </w:r>
          </w:p>
        </w:tc>
      </w:tr>
      <w:tr w:rsidR="00B23307" w:rsidRPr="00A463C5" w14:paraId="332A26E4" w14:textId="77777777" w:rsidTr="00606C69">
        <w:tc>
          <w:tcPr>
            <w:tcW w:w="4530" w:type="dxa"/>
            <w:gridSpan w:val="3"/>
            <w:shd w:val="clear" w:color="auto" w:fill="DEEAF6" w:themeFill="accent5" w:themeFillTint="33"/>
          </w:tcPr>
          <w:p w14:paraId="73E87008" w14:textId="77777777" w:rsidR="00B23307" w:rsidRPr="00A463C5" w:rsidRDefault="00B23307" w:rsidP="00606C69">
            <w:pPr>
              <w:spacing w:after="0"/>
              <w:rPr>
                <w:lang w:val="fr-FR"/>
              </w:rPr>
            </w:pPr>
            <w:r w:rsidRPr="00A463C5">
              <w:rPr>
                <w:noProof/>
                <w:lang w:val="fr-FR"/>
              </w:rPr>
              <w:drawing>
                <wp:inline distT="0" distB="0" distL="0" distR="0" wp14:anchorId="2EEF2976" wp14:editId="28166F22">
                  <wp:extent cx="288000" cy="288000"/>
                  <wp:effectExtent l="0" t="0" r="0" b="0"/>
                  <wp:docPr id="63" name="Graphic 63"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3"/>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Points forts </w:t>
            </w:r>
          </w:p>
        </w:tc>
        <w:tc>
          <w:tcPr>
            <w:tcW w:w="4532" w:type="dxa"/>
            <w:gridSpan w:val="3"/>
            <w:shd w:val="clear" w:color="auto" w:fill="DEEAF6" w:themeFill="accent5" w:themeFillTint="33"/>
          </w:tcPr>
          <w:p w14:paraId="371EC9A2" w14:textId="77777777" w:rsidR="00B23307" w:rsidRPr="00A463C5" w:rsidRDefault="00B23307" w:rsidP="00606C69">
            <w:pPr>
              <w:spacing w:after="0"/>
              <w:rPr>
                <w:lang w:val="fr-FR"/>
              </w:rPr>
            </w:pPr>
            <w:r w:rsidRPr="00A463C5">
              <w:rPr>
                <w:noProof/>
                <w:lang w:val="fr-FR"/>
              </w:rPr>
              <w:drawing>
                <wp:inline distT="0" distB="0" distL="0" distR="0" wp14:anchorId="7FB23EF8" wp14:editId="7426A534">
                  <wp:extent cx="288000" cy="288000"/>
                  <wp:effectExtent l="0" t="0" r="0" b="0"/>
                  <wp:docPr id="195" name="Graphic 195"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5"/>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r w:rsidRPr="00A463C5">
              <w:rPr>
                <w:b/>
                <w:bCs/>
                <w:lang w:val="fr-FR"/>
              </w:rPr>
              <w:t>Limitations</w:t>
            </w:r>
          </w:p>
        </w:tc>
      </w:tr>
      <w:tr w:rsidR="00B23307" w:rsidRPr="004A729B" w14:paraId="772569EF" w14:textId="77777777" w:rsidTr="00606C69">
        <w:tc>
          <w:tcPr>
            <w:tcW w:w="4530" w:type="dxa"/>
            <w:gridSpan w:val="3"/>
          </w:tcPr>
          <w:p w14:paraId="7322C6E7" w14:textId="77777777" w:rsidR="00B23307" w:rsidRPr="00A463C5" w:rsidRDefault="00B23307" w:rsidP="00606C69">
            <w:pPr>
              <w:spacing w:after="0"/>
              <w:rPr>
                <w:lang w:val="fr-FR"/>
              </w:rPr>
            </w:pPr>
            <w:r w:rsidRPr="00A463C5">
              <w:rPr>
                <w:lang w:val="fr-FR"/>
              </w:rPr>
              <w:t>1. Concept partant du niveau mondial : déséquilibre entre les engagements et les actifs du portefeuille international.</w:t>
            </w:r>
          </w:p>
        </w:tc>
        <w:tc>
          <w:tcPr>
            <w:tcW w:w="4532" w:type="dxa"/>
            <w:gridSpan w:val="3"/>
          </w:tcPr>
          <w:p w14:paraId="1E5078FE" w14:textId="77777777" w:rsidR="00AA6BE1" w:rsidRPr="00A463C5" w:rsidRDefault="00AA6BE1" w:rsidP="00AA6BE1">
            <w:pPr>
              <w:spacing w:after="0"/>
              <w:rPr>
                <w:lang w:val="fr-FR"/>
              </w:rPr>
            </w:pPr>
            <w:r w:rsidRPr="00A463C5">
              <w:rPr>
                <w:lang w:val="fr-FR"/>
              </w:rPr>
              <w:t>1. L'approche macro.</w:t>
            </w:r>
          </w:p>
          <w:p w14:paraId="103E7334" w14:textId="77777777" w:rsidR="00AA6BE1" w:rsidRPr="00A463C5" w:rsidRDefault="00AA6BE1" w:rsidP="00AA6BE1">
            <w:pPr>
              <w:spacing w:after="0"/>
              <w:rPr>
                <w:lang w:val="fr-FR"/>
              </w:rPr>
            </w:pPr>
            <w:r w:rsidRPr="00A463C5">
              <w:rPr>
                <w:lang w:val="fr-FR"/>
              </w:rPr>
              <w:t xml:space="preserve">2. </w:t>
            </w:r>
            <w:r w:rsidRPr="00D83A36">
              <w:rPr>
                <w:lang w:val="fr-FR"/>
              </w:rPr>
              <w:t xml:space="preserve">Associer les dépôts à leur origine : divers dispositifs de filtrage, par exemple les sociétés écrans, empêchent l'estimation directe des parts de propriété </w:t>
            </w:r>
            <w:r>
              <w:rPr>
                <w:lang w:val="fr-FR"/>
              </w:rPr>
              <w:t xml:space="preserve">des patrimoines offshore </w:t>
            </w:r>
            <w:r w:rsidRPr="00D83A36">
              <w:rPr>
                <w:lang w:val="fr-FR"/>
              </w:rPr>
              <w:t>non déclarés.</w:t>
            </w:r>
            <w:r w:rsidRPr="00A463C5">
              <w:rPr>
                <w:lang w:val="fr-FR"/>
              </w:rPr>
              <w:t xml:space="preserve"> </w:t>
            </w:r>
          </w:p>
          <w:p w14:paraId="46D65DF1" w14:textId="77777777" w:rsidR="00AA6BE1" w:rsidRPr="00A463C5" w:rsidRDefault="00AA6BE1" w:rsidP="00AA6BE1">
            <w:pPr>
              <w:spacing w:after="0"/>
              <w:rPr>
                <w:lang w:val="fr-FR"/>
              </w:rPr>
            </w:pPr>
            <w:r w:rsidRPr="00A463C5">
              <w:rPr>
                <w:lang w:val="fr-FR"/>
              </w:rPr>
              <w:t xml:space="preserve">3. Impossible de distinguer les dépôts transfrontaliers de particuliers </w:t>
            </w:r>
            <w:r>
              <w:rPr>
                <w:lang w:val="fr-FR"/>
              </w:rPr>
              <w:t>de</w:t>
            </w:r>
            <w:r w:rsidRPr="00A463C5">
              <w:rPr>
                <w:lang w:val="fr-FR"/>
              </w:rPr>
              <w:t xml:space="preserve"> ceux des sociétés.</w:t>
            </w:r>
          </w:p>
          <w:p w14:paraId="28DECE67" w14:textId="77777777" w:rsidR="00AA6BE1" w:rsidRPr="00A463C5" w:rsidRDefault="00AA6BE1" w:rsidP="00AA6BE1">
            <w:pPr>
              <w:spacing w:after="0"/>
              <w:rPr>
                <w:lang w:val="fr-FR"/>
              </w:rPr>
            </w:pPr>
            <w:r w:rsidRPr="00A463C5">
              <w:rPr>
                <w:lang w:val="fr-FR"/>
              </w:rPr>
              <w:t>4. S'appuyer sur diverses hypothèses.</w:t>
            </w:r>
          </w:p>
          <w:p w14:paraId="3F1DD948" w14:textId="06A115D2" w:rsidR="00B23307" w:rsidRPr="00A463C5" w:rsidRDefault="00AA6BE1" w:rsidP="00AA6BE1">
            <w:pPr>
              <w:spacing w:after="0"/>
              <w:rPr>
                <w:lang w:val="fr-FR"/>
              </w:rPr>
            </w:pPr>
            <w:r w:rsidRPr="00A463C5">
              <w:rPr>
                <w:lang w:val="fr-FR"/>
              </w:rPr>
              <w:t xml:space="preserve">5. Ne produit que des </w:t>
            </w:r>
            <w:r>
              <w:rPr>
                <w:lang w:val="fr-FR"/>
              </w:rPr>
              <w:t>FFI</w:t>
            </w:r>
            <w:r w:rsidRPr="00A463C5">
              <w:rPr>
                <w:lang w:val="fr-FR"/>
              </w:rPr>
              <w:t xml:space="preserve"> sortants dans certaines circonstances.</w:t>
            </w:r>
          </w:p>
        </w:tc>
      </w:tr>
      <w:tr w:rsidR="00B23307" w:rsidRPr="00A463C5" w14:paraId="07B4B7C6" w14:textId="77777777" w:rsidTr="00606C69">
        <w:tc>
          <w:tcPr>
            <w:tcW w:w="4530" w:type="dxa"/>
            <w:gridSpan w:val="3"/>
            <w:shd w:val="clear" w:color="auto" w:fill="DEEAF6" w:themeFill="accent5" w:themeFillTint="33"/>
          </w:tcPr>
          <w:p w14:paraId="715DDA4D" w14:textId="77777777" w:rsidR="00B23307" w:rsidRPr="00A463C5" w:rsidRDefault="00B23307" w:rsidP="00606C69">
            <w:pPr>
              <w:spacing w:after="0"/>
              <w:rPr>
                <w:lang w:val="fr-FR"/>
              </w:rPr>
            </w:pPr>
            <w:r w:rsidRPr="00A463C5">
              <w:rPr>
                <w:noProof/>
                <w:lang w:val="fr-FR"/>
              </w:rPr>
              <w:drawing>
                <wp:inline distT="0" distB="0" distL="0" distR="0" wp14:anchorId="099CB880" wp14:editId="5C5EBCAC">
                  <wp:extent cx="288000" cy="288000"/>
                  <wp:effectExtent l="0" t="0" r="0" b="0"/>
                  <wp:docPr id="196" name="Graphic 196"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6"/>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r w:rsidRPr="00A463C5">
              <w:rPr>
                <w:b/>
                <w:bCs/>
                <w:lang w:val="fr-FR"/>
              </w:rPr>
              <w:t>Sources de données</w:t>
            </w:r>
          </w:p>
        </w:tc>
        <w:tc>
          <w:tcPr>
            <w:tcW w:w="4532" w:type="dxa"/>
            <w:gridSpan w:val="3"/>
            <w:shd w:val="clear" w:color="auto" w:fill="DEEAF6" w:themeFill="accent5" w:themeFillTint="33"/>
          </w:tcPr>
          <w:p w14:paraId="388CAC24" w14:textId="77777777" w:rsidR="00B23307" w:rsidRPr="00A463C5" w:rsidRDefault="00B23307" w:rsidP="00606C69">
            <w:pPr>
              <w:spacing w:after="0"/>
              <w:rPr>
                <w:lang w:val="fr-FR"/>
              </w:rPr>
            </w:pPr>
            <w:r w:rsidRPr="00A463C5">
              <w:rPr>
                <w:noProof/>
                <w:lang w:val="fr-FR"/>
              </w:rPr>
              <w:drawing>
                <wp:inline distT="0" distB="0" distL="0" distR="0" wp14:anchorId="3978F8D6" wp14:editId="70EF0839">
                  <wp:extent cx="288000" cy="288000"/>
                  <wp:effectExtent l="0" t="0" r="0" b="0"/>
                  <wp:docPr id="199" name="Graphic 199"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9"/>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Atténuation des limitations </w:t>
            </w:r>
          </w:p>
        </w:tc>
      </w:tr>
      <w:tr w:rsidR="00B23307" w:rsidRPr="004A729B" w14:paraId="095FA8EB" w14:textId="77777777" w:rsidTr="00606C69">
        <w:tc>
          <w:tcPr>
            <w:tcW w:w="4530" w:type="dxa"/>
            <w:gridSpan w:val="3"/>
          </w:tcPr>
          <w:p w14:paraId="3AFAE07A" w14:textId="77777777" w:rsidR="00B23307" w:rsidRPr="00A463C5" w:rsidRDefault="00B23307" w:rsidP="00606C69">
            <w:pPr>
              <w:spacing w:after="0"/>
              <w:rPr>
                <w:lang w:val="fr-FR"/>
              </w:rPr>
            </w:pPr>
            <w:r w:rsidRPr="00A463C5">
              <w:rPr>
                <w:lang w:val="fr-FR"/>
              </w:rPr>
              <w:lastRenderedPageBreak/>
              <w:t>1. L</w:t>
            </w:r>
            <w:r>
              <w:rPr>
                <w:lang w:val="fr-FR"/>
              </w:rPr>
              <w:t>’ECIP</w:t>
            </w:r>
            <w:r w:rsidRPr="00A463C5">
              <w:rPr>
                <w:lang w:val="fr-FR"/>
              </w:rPr>
              <w:t xml:space="preserve"> du FMI.</w:t>
            </w:r>
          </w:p>
          <w:p w14:paraId="45826EFA" w14:textId="77777777" w:rsidR="00B23307" w:rsidRPr="00A463C5" w:rsidRDefault="00B23307" w:rsidP="00606C69">
            <w:pPr>
              <w:spacing w:after="0"/>
              <w:rPr>
                <w:lang w:val="fr-FR"/>
              </w:rPr>
            </w:pPr>
            <w:r w:rsidRPr="00A463C5">
              <w:rPr>
                <w:lang w:val="fr-FR"/>
              </w:rPr>
              <w:t xml:space="preserve">2. </w:t>
            </w:r>
            <w:r>
              <w:rPr>
                <w:lang w:val="fr-FR"/>
              </w:rPr>
              <w:t>L’IPP</w:t>
            </w:r>
            <w:r w:rsidRPr="00A463C5">
              <w:rPr>
                <w:lang w:val="fr-FR"/>
              </w:rPr>
              <w:t xml:space="preserve"> du FMI.</w:t>
            </w:r>
          </w:p>
          <w:p w14:paraId="37E851AD" w14:textId="77777777" w:rsidR="00B23307" w:rsidRPr="001D2C67" w:rsidRDefault="00B23307" w:rsidP="00606C69">
            <w:pPr>
              <w:spacing w:after="0"/>
              <w:rPr>
                <w:lang w:val="en-US"/>
              </w:rPr>
            </w:pPr>
            <w:r w:rsidRPr="001D2C67">
              <w:rPr>
                <w:lang w:val="en-US"/>
              </w:rPr>
              <w:t xml:space="preserve">3. Base de données </w:t>
            </w:r>
            <w:r w:rsidRPr="001D2C67">
              <w:rPr>
                <w:i/>
                <w:iCs/>
                <w:lang w:val="en-US"/>
              </w:rPr>
              <w:t>External Wealth of Nations</w:t>
            </w:r>
            <w:r w:rsidRPr="001D2C67">
              <w:rPr>
                <w:lang w:val="en-US"/>
              </w:rPr>
              <w:t xml:space="preserve"> (EWN).</w:t>
            </w:r>
          </w:p>
          <w:p w14:paraId="6692200E" w14:textId="77777777" w:rsidR="00B23307" w:rsidRPr="001D2C67" w:rsidRDefault="00B23307" w:rsidP="00606C69">
            <w:pPr>
              <w:spacing w:after="0"/>
              <w:rPr>
                <w:lang w:val="en-US"/>
              </w:rPr>
            </w:pPr>
            <w:r w:rsidRPr="001D2C67">
              <w:rPr>
                <w:lang w:val="en-US"/>
              </w:rPr>
              <w:t xml:space="preserve">4. </w:t>
            </w:r>
            <w:r w:rsidRPr="001D2C67">
              <w:rPr>
                <w:i/>
                <w:iCs/>
                <w:lang w:val="en-US"/>
              </w:rPr>
              <w:t>Bank for International Settlements</w:t>
            </w:r>
            <w:r w:rsidRPr="001D2C67">
              <w:rPr>
                <w:lang w:val="en-US"/>
              </w:rPr>
              <w:t xml:space="preserve"> (BIS)</w:t>
            </w:r>
          </w:p>
          <w:p w14:paraId="0EE49A7F" w14:textId="77777777" w:rsidR="00B23307" w:rsidRPr="00A463C5" w:rsidRDefault="00B23307" w:rsidP="00606C69">
            <w:pPr>
              <w:spacing w:after="0"/>
              <w:rPr>
                <w:lang w:val="fr-FR"/>
              </w:rPr>
            </w:pPr>
            <w:r w:rsidRPr="00A463C5">
              <w:rPr>
                <w:lang w:val="fr-FR"/>
              </w:rPr>
              <w:t xml:space="preserve">5. </w:t>
            </w:r>
            <w:r>
              <w:rPr>
                <w:lang w:val="fr-FR"/>
              </w:rPr>
              <w:t>Banque nationale suisse.</w:t>
            </w:r>
          </w:p>
        </w:tc>
        <w:tc>
          <w:tcPr>
            <w:tcW w:w="4532" w:type="dxa"/>
            <w:gridSpan w:val="3"/>
          </w:tcPr>
          <w:p w14:paraId="7307B2B4" w14:textId="77777777" w:rsidR="00B23307" w:rsidRPr="00A463C5" w:rsidRDefault="00B23307" w:rsidP="00606C69">
            <w:pPr>
              <w:spacing w:after="0"/>
              <w:rPr>
                <w:lang w:val="fr-FR"/>
              </w:rPr>
            </w:pPr>
            <w:r w:rsidRPr="00A463C5">
              <w:rPr>
                <w:lang w:val="fr-FR"/>
              </w:rPr>
              <w:t>Données détaillées et supplémentaires par pays, y compris l'échange de données dans un environnement statistique sûr.</w:t>
            </w:r>
          </w:p>
        </w:tc>
      </w:tr>
      <w:tr w:rsidR="00B23307" w:rsidRPr="00A463C5" w14:paraId="69A85532" w14:textId="77777777" w:rsidTr="00606C69">
        <w:tc>
          <w:tcPr>
            <w:tcW w:w="9062" w:type="dxa"/>
            <w:gridSpan w:val="6"/>
            <w:shd w:val="clear" w:color="auto" w:fill="DEEAF6" w:themeFill="accent5" w:themeFillTint="33"/>
          </w:tcPr>
          <w:p w14:paraId="35DFE6DC" w14:textId="77777777" w:rsidR="00B23307" w:rsidRPr="00A463C5" w:rsidRDefault="00B23307" w:rsidP="00606C69">
            <w:pPr>
              <w:spacing w:after="0"/>
              <w:rPr>
                <w:lang w:val="fr-FR"/>
              </w:rPr>
            </w:pPr>
            <w:r w:rsidRPr="00A463C5">
              <w:rPr>
                <w:noProof/>
                <w:lang w:val="fr-FR"/>
              </w:rPr>
              <w:drawing>
                <wp:inline distT="0" distB="0" distL="0" distR="0" wp14:anchorId="1D1B74C9" wp14:editId="415C0315">
                  <wp:extent cx="288000" cy="288000"/>
                  <wp:effectExtent l="0" t="0" r="0" b="0"/>
                  <wp:docPr id="200" name="Graphic 200"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0"/>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Calcul </w:t>
            </w:r>
          </w:p>
        </w:tc>
      </w:tr>
      <w:tr w:rsidR="00B23307" w:rsidRPr="004A729B" w14:paraId="24F3FC83" w14:textId="77777777" w:rsidTr="00606C69">
        <w:tc>
          <w:tcPr>
            <w:tcW w:w="9062" w:type="dxa"/>
            <w:gridSpan w:val="6"/>
          </w:tcPr>
          <w:p w14:paraId="7DAAC6AB" w14:textId="77777777" w:rsidR="0094538A" w:rsidRPr="00A463C5" w:rsidRDefault="0094538A" w:rsidP="0094538A">
            <w:pPr>
              <w:spacing w:after="0"/>
              <w:rPr>
                <w:lang w:val="fr-FR"/>
              </w:rPr>
            </w:pPr>
            <w:r w:rsidRPr="00A463C5">
              <w:rPr>
                <w:lang w:val="fr-FR"/>
              </w:rPr>
              <w:t xml:space="preserve">1. </w:t>
            </w:r>
            <w:r w:rsidRPr="002472AA">
              <w:rPr>
                <w:lang w:val="fr-FR"/>
              </w:rPr>
              <w:t>Estime</w:t>
            </w:r>
            <w:r>
              <w:rPr>
                <w:lang w:val="fr-FR"/>
              </w:rPr>
              <w:t>r</w:t>
            </w:r>
            <w:r w:rsidRPr="002472AA">
              <w:rPr>
                <w:lang w:val="fr-FR"/>
              </w:rPr>
              <w:t xml:space="preserve"> l</w:t>
            </w:r>
            <w:r>
              <w:rPr>
                <w:lang w:val="fr-FR"/>
              </w:rPr>
              <w:t xml:space="preserve">e patrimoine financier offshore </w:t>
            </w:r>
            <w:r w:rsidRPr="002472AA">
              <w:rPr>
                <w:lang w:val="fr-FR"/>
              </w:rPr>
              <w:t>mondial, comme la somme des portefeuilles et des</w:t>
            </w:r>
            <w:r>
              <w:rPr>
                <w:lang w:val="fr-FR"/>
              </w:rPr>
              <w:t xml:space="preserve"> </w:t>
            </w:r>
            <w:r w:rsidRPr="002472AA">
              <w:rPr>
                <w:lang w:val="fr-FR"/>
              </w:rPr>
              <w:t xml:space="preserve">dépôts </w:t>
            </w:r>
            <w:r>
              <w:rPr>
                <w:lang w:val="fr-FR"/>
              </w:rPr>
              <w:t>offshores</w:t>
            </w:r>
            <w:r w:rsidRPr="002472AA">
              <w:rPr>
                <w:lang w:val="fr-FR"/>
              </w:rPr>
              <w:t>.</w:t>
            </w:r>
          </w:p>
          <w:p w14:paraId="1B949A51" w14:textId="77777777" w:rsidR="0094538A" w:rsidRPr="00A463C5" w:rsidRDefault="0094538A" w:rsidP="0094538A">
            <w:pPr>
              <w:spacing w:after="0"/>
              <w:rPr>
                <w:lang w:val="fr-FR"/>
              </w:rPr>
            </w:pPr>
            <w:r w:rsidRPr="00A463C5">
              <w:rPr>
                <w:lang w:val="fr-FR"/>
              </w:rPr>
              <w:t xml:space="preserve">2. </w:t>
            </w:r>
            <w:r w:rsidRPr="00495FD7">
              <w:rPr>
                <w:lang w:val="fr-FR"/>
              </w:rPr>
              <w:t>L</w:t>
            </w:r>
            <w:r>
              <w:rPr>
                <w:lang w:val="fr-FR"/>
              </w:rPr>
              <w:t xml:space="preserve">e patrimoine financier offshore </w:t>
            </w:r>
            <w:r w:rsidRPr="002472AA">
              <w:rPr>
                <w:lang w:val="fr-FR"/>
              </w:rPr>
              <w:t>mondial</w:t>
            </w:r>
            <w:r w:rsidRPr="00495FD7">
              <w:rPr>
                <w:lang w:val="fr-FR"/>
              </w:rPr>
              <w:t xml:space="preserve"> est </w:t>
            </w:r>
            <w:r w:rsidRPr="00835569">
              <w:rPr>
                <w:lang w:val="fr-FR"/>
              </w:rPr>
              <w:t>ventilé par</w:t>
            </w:r>
            <w:r w:rsidRPr="00495FD7">
              <w:rPr>
                <w:lang w:val="fr-FR"/>
              </w:rPr>
              <w:t xml:space="preserve"> pays détenteur et par </w:t>
            </w:r>
            <w:r>
              <w:rPr>
                <w:lang w:val="fr-FR"/>
              </w:rPr>
              <w:t>centre financier international</w:t>
            </w:r>
            <w:r w:rsidRPr="00495FD7">
              <w:rPr>
                <w:lang w:val="fr-FR"/>
              </w:rPr>
              <w:t>.</w:t>
            </w:r>
          </w:p>
          <w:p w14:paraId="2EF0C335" w14:textId="77777777" w:rsidR="0094538A" w:rsidRPr="00A463C5" w:rsidRDefault="0094538A" w:rsidP="0094538A">
            <w:pPr>
              <w:spacing w:after="0"/>
              <w:rPr>
                <w:lang w:val="fr-FR"/>
              </w:rPr>
            </w:pPr>
            <w:r w:rsidRPr="00A463C5">
              <w:rPr>
                <w:lang w:val="fr-FR"/>
              </w:rPr>
              <w:t xml:space="preserve">3. Appliquer un taux de non-conformité de 75 % aux </w:t>
            </w:r>
            <w:r>
              <w:rPr>
                <w:lang w:val="fr-FR"/>
              </w:rPr>
              <w:t xml:space="preserve">patrimoines offshore </w:t>
            </w:r>
            <w:r w:rsidRPr="00A463C5">
              <w:rPr>
                <w:lang w:val="fr-FR"/>
              </w:rPr>
              <w:t xml:space="preserve">détenus par des particuliers pour obtenir des </w:t>
            </w:r>
            <w:r>
              <w:rPr>
                <w:lang w:val="fr-FR"/>
              </w:rPr>
              <w:t>patrimoines offshores</w:t>
            </w:r>
            <w:r w:rsidRPr="00A463C5">
              <w:rPr>
                <w:lang w:val="fr-FR"/>
              </w:rPr>
              <w:t xml:space="preserve"> non déclarés. </w:t>
            </w:r>
          </w:p>
          <w:p w14:paraId="657DA16B" w14:textId="77777777" w:rsidR="0094538A" w:rsidRPr="00A463C5" w:rsidRDefault="0094538A" w:rsidP="0094538A">
            <w:pPr>
              <w:spacing w:after="0"/>
              <w:rPr>
                <w:lang w:val="fr-FR"/>
              </w:rPr>
            </w:pPr>
            <w:r w:rsidRPr="00A463C5">
              <w:rPr>
                <w:lang w:val="fr-FR"/>
              </w:rPr>
              <w:t xml:space="preserve">4. Estimer les flux à partir des mesures de stock. </w:t>
            </w:r>
          </w:p>
          <w:p w14:paraId="0DC6F6BA" w14:textId="1FA6658F" w:rsidR="00B23307" w:rsidRPr="00A463C5" w:rsidRDefault="0094538A" w:rsidP="0094538A">
            <w:pPr>
              <w:spacing w:after="0"/>
              <w:rPr>
                <w:lang w:val="fr-FR"/>
              </w:rPr>
            </w:pPr>
            <w:r w:rsidRPr="00A463C5">
              <w:rPr>
                <w:lang w:val="fr-FR"/>
              </w:rPr>
              <w:t xml:space="preserve">5. Estimer les flux sortants des </w:t>
            </w:r>
            <w:r>
              <w:rPr>
                <w:lang w:val="fr-FR"/>
              </w:rPr>
              <w:t>FFI</w:t>
            </w:r>
            <w:r w:rsidRPr="00A463C5">
              <w:rPr>
                <w:lang w:val="fr-FR"/>
              </w:rPr>
              <w:t>.</w:t>
            </w:r>
          </w:p>
        </w:tc>
      </w:tr>
      <w:tr w:rsidR="00B23307" w:rsidRPr="00A463C5" w14:paraId="6E5BF491" w14:textId="77777777" w:rsidTr="00606C69">
        <w:tc>
          <w:tcPr>
            <w:tcW w:w="9062" w:type="dxa"/>
            <w:gridSpan w:val="6"/>
            <w:shd w:val="clear" w:color="auto" w:fill="DEEAF6" w:themeFill="accent5" w:themeFillTint="33"/>
          </w:tcPr>
          <w:p w14:paraId="3F2AF73F" w14:textId="77777777" w:rsidR="00B23307" w:rsidRPr="00A463C5" w:rsidRDefault="00B23307" w:rsidP="00606C69">
            <w:pPr>
              <w:spacing w:after="0"/>
              <w:rPr>
                <w:lang w:val="fr-FR"/>
              </w:rPr>
            </w:pPr>
            <w:r w:rsidRPr="00A463C5">
              <w:rPr>
                <w:noProof/>
                <w:lang w:val="fr-FR"/>
              </w:rPr>
              <w:drawing>
                <wp:inline distT="0" distB="0" distL="0" distR="0" wp14:anchorId="01EF2216" wp14:editId="4DFB5738">
                  <wp:extent cx="288000" cy="288000"/>
                  <wp:effectExtent l="0" t="0" r="0" b="0"/>
                  <wp:docPr id="201" name="Graphic 201"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8000" cy="288000"/>
                          </a:xfrm>
                          <a:prstGeom prst="rect">
                            <a:avLst/>
                          </a:prstGeom>
                        </pic:spPr>
                      </pic:pic>
                    </a:graphicData>
                  </a:graphic>
                </wp:inline>
              </w:drawing>
            </w:r>
            <w:r w:rsidRPr="00A463C5">
              <w:rPr>
                <w:b/>
                <w:bCs/>
                <w:lang w:val="fr-FR"/>
              </w:rPr>
              <w:t>Résultats</w:t>
            </w:r>
          </w:p>
        </w:tc>
      </w:tr>
      <w:tr w:rsidR="00B23307" w:rsidRPr="004A729B" w14:paraId="2F18A507" w14:textId="77777777" w:rsidTr="00606C69">
        <w:tc>
          <w:tcPr>
            <w:tcW w:w="9062" w:type="dxa"/>
            <w:gridSpan w:val="6"/>
          </w:tcPr>
          <w:p w14:paraId="58C23FDB" w14:textId="77777777" w:rsidR="00B23307" w:rsidRPr="00A463C5" w:rsidRDefault="00B23307" w:rsidP="00606C69">
            <w:pPr>
              <w:spacing w:after="0"/>
              <w:rPr>
                <w:lang w:val="fr-FR"/>
              </w:rPr>
            </w:pPr>
            <w:r>
              <w:rPr>
                <w:lang w:val="fr-FR"/>
              </w:rPr>
              <w:t>Les</w:t>
            </w:r>
            <w:r w:rsidRPr="00560000">
              <w:rPr>
                <w:lang w:val="fr-FR"/>
              </w:rPr>
              <w:t xml:space="preserve"> résultats sont présentés annuellement pour l'ensemble de l’économie</w:t>
            </w:r>
            <w:r w:rsidRPr="00A463C5">
              <w:rPr>
                <w:lang w:val="fr-FR"/>
              </w:rPr>
              <w:t xml:space="preserve"> : uniquement les </w:t>
            </w:r>
            <w:r>
              <w:rPr>
                <w:lang w:val="fr-FR"/>
              </w:rPr>
              <w:t>FFI sortants</w:t>
            </w:r>
            <w:r w:rsidRPr="00A463C5">
              <w:rPr>
                <w:lang w:val="fr-FR"/>
              </w:rPr>
              <w:t>.</w:t>
            </w:r>
          </w:p>
        </w:tc>
      </w:tr>
      <w:tr w:rsidR="00B23307" w:rsidRPr="00A463C5" w14:paraId="446893F1" w14:textId="77777777" w:rsidTr="00606C69">
        <w:tc>
          <w:tcPr>
            <w:tcW w:w="9062" w:type="dxa"/>
            <w:gridSpan w:val="6"/>
            <w:shd w:val="clear" w:color="auto" w:fill="DEEAF6" w:themeFill="accent5" w:themeFillTint="33"/>
          </w:tcPr>
          <w:p w14:paraId="5F7FC9AB" w14:textId="77777777" w:rsidR="00B23307" w:rsidRPr="00A463C5" w:rsidRDefault="00B23307" w:rsidP="00606C69">
            <w:pPr>
              <w:spacing w:after="0"/>
              <w:rPr>
                <w:lang w:val="fr-FR"/>
              </w:rPr>
            </w:pPr>
            <w:r w:rsidRPr="00A463C5">
              <w:rPr>
                <w:noProof/>
                <w:lang w:val="fr-FR"/>
              </w:rPr>
              <w:drawing>
                <wp:inline distT="0" distB="0" distL="0" distR="0" wp14:anchorId="3E4DE626" wp14:editId="4D831260">
                  <wp:extent cx="288000" cy="288000"/>
                  <wp:effectExtent l="0" t="0" r="0" b="0"/>
                  <wp:docPr id="202" name="Graphic 202"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2"/>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r w:rsidRPr="00A463C5">
              <w:rPr>
                <w:b/>
                <w:bCs/>
                <w:lang w:val="fr-FR"/>
              </w:rPr>
              <w:t xml:space="preserve">Note(s) spéciale(s) </w:t>
            </w:r>
          </w:p>
        </w:tc>
      </w:tr>
      <w:tr w:rsidR="00B23307" w:rsidRPr="004A729B" w14:paraId="5629AB68" w14:textId="77777777" w:rsidTr="00606C69">
        <w:tc>
          <w:tcPr>
            <w:tcW w:w="9062" w:type="dxa"/>
            <w:gridSpan w:val="6"/>
          </w:tcPr>
          <w:p w14:paraId="7B0050D3" w14:textId="77777777" w:rsidR="00B23307" w:rsidRPr="00A463C5" w:rsidRDefault="00B23307" w:rsidP="00606C69">
            <w:pPr>
              <w:spacing w:after="0"/>
              <w:rPr>
                <w:lang w:val="fr-FR"/>
              </w:rPr>
            </w:pPr>
            <w:r w:rsidRPr="00A463C5">
              <w:rPr>
                <w:lang w:val="fr-FR"/>
              </w:rPr>
              <w:t xml:space="preserve">Les flux sortants ne sont obtenus qu'en utilisant des hypothèses et si les circonstances sont favorables. Il n'est pas facile de déterminer les flux entrants des </w:t>
            </w:r>
            <w:r>
              <w:rPr>
                <w:lang w:val="fr-FR"/>
              </w:rPr>
              <w:t>FFI</w:t>
            </w:r>
            <w:r w:rsidRPr="00A463C5">
              <w:rPr>
                <w:lang w:val="fr-FR"/>
              </w:rPr>
              <w:t xml:space="preserve"> en utilisant cette méthode.</w:t>
            </w:r>
          </w:p>
        </w:tc>
      </w:tr>
      <w:tr w:rsidR="00B23307" w:rsidRPr="00A463C5" w14:paraId="2E675EBA" w14:textId="77777777" w:rsidTr="00606C69">
        <w:tc>
          <w:tcPr>
            <w:tcW w:w="9062" w:type="dxa"/>
            <w:gridSpan w:val="6"/>
            <w:shd w:val="clear" w:color="auto" w:fill="DEEAF6" w:themeFill="accent5" w:themeFillTint="33"/>
          </w:tcPr>
          <w:p w14:paraId="17A19F42" w14:textId="77777777" w:rsidR="00B23307" w:rsidRPr="00977486" w:rsidRDefault="00B23307" w:rsidP="00606C69">
            <w:pPr>
              <w:spacing w:after="0"/>
              <w:rPr>
                <w:lang w:val="fr-FR"/>
              </w:rPr>
            </w:pPr>
            <w:r w:rsidRPr="00977486">
              <w:rPr>
                <w:noProof/>
                <w:lang w:val="fr-FR"/>
              </w:rPr>
              <w:drawing>
                <wp:inline distT="0" distB="0" distL="0" distR="0" wp14:anchorId="3864CD29" wp14:editId="0E1F6109">
                  <wp:extent cx="288000" cy="288000"/>
                  <wp:effectExtent l="0" t="0" r="0" b="0"/>
                  <wp:docPr id="203" name="Graphic 20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3"/>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8000" cy="288000"/>
                          </a:xfrm>
                          <a:prstGeom prst="rect">
                            <a:avLst/>
                          </a:prstGeom>
                        </pic:spPr>
                      </pic:pic>
                    </a:graphicData>
                  </a:graphic>
                </wp:inline>
              </w:drawing>
            </w:r>
            <w:r w:rsidRPr="00977486">
              <w:rPr>
                <w:b/>
                <w:bCs/>
                <w:lang w:val="fr-FR"/>
              </w:rPr>
              <w:t>Études de cas</w:t>
            </w:r>
          </w:p>
        </w:tc>
      </w:tr>
      <w:tr w:rsidR="00B23307" w:rsidRPr="004A729B" w14:paraId="36767B6D" w14:textId="77777777" w:rsidTr="00606C69">
        <w:tc>
          <w:tcPr>
            <w:tcW w:w="9062" w:type="dxa"/>
            <w:gridSpan w:val="6"/>
          </w:tcPr>
          <w:p w14:paraId="4EA9BE71" w14:textId="77777777" w:rsidR="00B23307" w:rsidRPr="00977486" w:rsidRDefault="00B23307" w:rsidP="00606C69">
            <w:pPr>
              <w:spacing w:after="0"/>
              <w:rPr>
                <w:lang w:val="fr-FR"/>
              </w:rPr>
            </w:pPr>
            <w:r w:rsidRPr="00977486">
              <w:rPr>
                <w:lang w:val="fr-FR"/>
              </w:rPr>
              <w:t>1. Identifier les actifs cachés dans la balance des paiements par la Banque de France (Gervais and Quang, 2018).</w:t>
            </w:r>
          </w:p>
          <w:p w14:paraId="60FBC9B8" w14:textId="77777777" w:rsidR="00B23307" w:rsidRPr="00977486" w:rsidRDefault="00B23307" w:rsidP="00606C69">
            <w:pPr>
              <w:spacing w:after="0"/>
              <w:rPr>
                <w:lang w:val="fr-FR"/>
              </w:rPr>
            </w:pPr>
            <w:r w:rsidRPr="00977486">
              <w:rPr>
                <w:lang w:val="fr-FR"/>
              </w:rPr>
              <w:t>2. Evasion fiscale internationale sur les revenus d'origine (European Commission, 2019).</w:t>
            </w:r>
          </w:p>
        </w:tc>
      </w:tr>
    </w:tbl>
    <w:p w14:paraId="7A69C76E" w14:textId="77777777" w:rsidR="00B23307" w:rsidRPr="00A463C5" w:rsidRDefault="00B23307" w:rsidP="00B23307">
      <w:pPr>
        <w:rPr>
          <w:lang w:val="fr-FR"/>
        </w:rPr>
      </w:pPr>
    </w:p>
    <w:p w14:paraId="4714C810" w14:textId="77777777" w:rsidR="00B23307" w:rsidRPr="00A463C5" w:rsidRDefault="00B23307" w:rsidP="00B23307">
      <w:pPr>
        <w:rPr>
          <w:lang w:val="fr-FR"/>
        </w:rPr>
      </w:pPr>
    </w:p>
    <w:p w14:paraId="034BE675" w14:textId="77777777" w:rsidR="00B23307" w:rsidRPr="005772F2" w:rsidRDefault="00B23307" w:rsidP="00B23307">
      <w:pPr>
        <w:rPr>
          <w:lang w:val="fr-FR"/>
        </w:rPr>
      </w:pPr>
    </w:p>
    <w:p w14:paraId="11D4C56A" w14:textId="77777777" w:rsidR="00B23307" w:rsidRDefault="00B23307" w:rsidP="00B23307">
      <w:pPr>
        <w:rPr>
          <w:lang w:val="fr-CH"/>
        </w:rPr>
      </w:pPr>
    </w:p>
    <w:p w14:paraId="2AA61BC0" w14:textId="77777777" w:rsidR="00B23307" w:rsidRDefault="00B23307" w:rsidP="00B23307">
      <w:pPr>
        <w:rPr>
          <w:lang w:val="fr-CH"/>
        </w:rPr>
      </w:pPr>
    </w:p>
    <w:p w14:paraId="4115429F" w14:textId="77777777" w:rsidR="00890B84" w:rsidRPr="00B23307" w:rsidRDefault="00D9271F">
      <w:pPr>
        <w:rPr>
          <w:lang w:val="fr-CH"/>
        </w:rPr>
      </w:pPr>
    </w:p>
    <w:sectPr w:rsidR="00890B84" w:rsidRPr="00B233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130"/>
    <w:multiLevelType w:val="hybridMultilevel"/>
    <w:tmpl w:val="38768982"/>
    <w:lvl w:ilvl="0" w:tplc="7A7A0F8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905BF"/>
    <w:multiLevelType w:val="hybridMultilevel"/>
    <w:tmpl w:val="F8709B78"/>
    <w:lvl w:ilvl="0" w:tplc="DA826C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07"/>
    <w:rsid w:val="00032574"/>
    <w:rsid w:val="000F515C"/>
    <w:rsid w:val="00294F1C"/>
    <w:rsid w:val="002B51E0"/>
    <w:rsid w:val="00305EC9"/>
    <w:rsid w:val="00383218"/>
    <w:rsid w:val="0042157B"/>
    <w:rsid w:val="004A729B"/>
    <w:rsid w:val="006650B4"/>
    <w:rsid w:val="00754E6B"/>
    <w:rsid w:val="0094538A"/>
    <w:rsid w:val="00987A4E"/>
    <w:rsid w:val="009A0E11"/>
    <w:rsid w:val="00AA6BE1"/>
    <w:rsid w:val="00B12B32"/>
    <w:rsid w:val="00B23307"/>
    <w:rsid w:val="00B539CB"/>
    <w:rsid w:val="00C06D18"/>
    <w:rsid w:val="00CE7774"/>
    <w:rsid w:val="00D072A7"/>
    <w:rsid w:val="00D14FFF"/>
    <w:rsid w:val="00D9271F"/>
    <w:rsid w:val="00DA4BCD"/>
    <w:rsid w:val="00DB218C"/>
    <w:rsid w:val="00E3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BF3A"/>
  <w15:chartTrackingRefBased/>
  <w15:docId w15:val="{51E51EA5-3978-4E6A-91DB-249C7EDD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07"/>
    <w:rPr>
      <w:lang w:val="en-GB"/>
    </w:rPr>
  </w:style>
  <w:style w:type="paragraph" w:styleId="Heading3">
    <w:name w:val="heading 3"/>
    <w:basedOn w:val="Normal"/>
    <w:next w:val="Normal"/>
    <w:link w:val="Heading3Char"/>
    <w:uiPriority w:val="9"/>
    <w:unhideWhenUsed/>
    <w:qFormat/>
    <w:rsid w:val="00B233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3307"/>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sv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8.sv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AA8E6-F0AE-4216-B4ED-56103333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3E1CD-1CD8-4983-9896-2BC49CC3225D}">
  <ds:schemaRefs>
    <ds:schemaRef ds:uri="http://schemas.microsoft.com/sharepoint/v3/contenttype/forms"/>
  </ds:schemaRefs>
</ds:datastoreItem>
</file>

<file path=customXml/itemProps3.xml><?xml version="1.0" encoding="utf-8"?>
<ds:datastoreItem xmlns:ds="http://schemas.openxmlformats.org/officeDocument/2006/customXml" ds:itemID="{A7A906EA-7BC4-42E8-95B1-C58E2359A7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3101</Words>
  <Characters>17677</Characters>
  <Application>Microsoft Office Word</Application>
  <DocSecurity>0</DocSecurity>
  <Lines>147</Lines>
  <Paragraphs>41</Paragraphs>
  <ScaleCrop>false</ScaleCrop>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Rushenguziminega</dc:creator>
  <cp:keywords/>
  <dc:description/>
  <cp:lastModifiedBy>Amandine Rushenguziminega</cp:lastModifiedBy>
  <cp:revision>22</cp:revision>
  <dcterms:created xsi:type="dcterms:W3CDTF">2021-07-02T13:18:00Z</dcterms:created>
  <dcterms:modified xsi:type="dcterms:W3CDTF">2021-07-23T14:33:00Z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