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034E" w14:textId="0D124AD7" w:rsidR="00C76757" w:rsidRPr="00C76757" w:rsidRDefault="00C76757" w:rsidP="00C76757">
      <w:pPr>
        <w:pStyle w:val="ListParagraph"/>
        <w:numPr>
          <w:ilvl w:val="0"/>
          <w:numId w:val="2"/>
        </w:numPr>
        <w:rPr>
          <w:lang w:val="pt-PT"/>
        </w:rPr>
      </w:pPr>
      <w:bookmarkStart w:id="0" w:name="_Toc86604451"/>
      <w:r w:rsidRPr="00C76757">
        <w:rPr>
          <w:rStyle w:val="Heading1Char"/>
          <w:lang w:val="fr-CH"/>
        </w:rPr>
        <w:t>Folhas de dados do método</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941"/>
      </w:tblGrid>
      <w:tr w:rsidR="00C76757" w:rsidRPr="00046ADF" w14:paraId="10597C16" w14:textId="77777777" w:rsidTr="00EF3DEA">
        <w:tc>
          <w:tcPr>
            <w:tcW w:w="2265" w:type="dxa"/>
            <w:tcBorders>
              <w:right w:val="nil"/>
            </w:tcBorders>
            <w:shd w:val="clear" w:color="auto" w:fill="DEEAF6" w:themeFill="accent5" w:themeFillTint="33"/>
          </w:tcPr>
          <w:p w14:paraId="450487ED" w14:textId="77777777" w:rsidR="00C76757" w:rsidRPr="00046ADF" w:rsidRDefault="00C76757" w:rsidP="00EF3DEA">
            <w:pPr>
              <w:spacing w:after="0"/>
              <w:rPr>
                <w:lang w:val="pt-PT"/>
              </w:rPr>
            </w:pPr>
            <w:r w:rsidRPr="00046ADF">
              <w:rPr>
                <w:b/>
                <w:bCs/>
                <w:lang w:val="pt-PT"/>
              </w:rPr>
              <w:t>Folha de dados do método</w:t>
            </w:r>
          </w:p>
        </w:tc>
        <w:tc>
          <w:tcPr>
            <w:tcW w:w="6797" w:type="dxa"/>
            <w:gridSpan w:val="5"/>
            <w:tcBorders>
              <w:left w:val="nil"/>
            </w:tcBorders>
            <w:shd w:val="clear" w:color="auto" w:fill="DEEAF6" w:themeFill="accent5" w:themeFillTint="33"/>
          </w:tcPr>
          <w:p w14:paraId="59DF589A" w14:textId="77777777" w:rsidR="00C76757" w:rsidRPr="00046ADF" w:rsidRDefault="00C76757" w:rsidP="00EF3DEA">
            <w:pPr>
              <w:spacing w:after="0"/>
              <w:jc w:val="right"/>
              <w:rPr>
                <w:b/>
                <w:bCs/>
                <w:lang w:val="pt-PT"/>
              </w:rPr>
            </w:pPr>
            <w:r w:rsidRPr="00046ADF">
              <w:rPr>
                <w:b/>
                <w:bCs/>
                <w:lang w:val="pt-PT"/>
              </w:rPr>
              <w:t>DIRECTRIZES METODOLÓGICAS PARA MEDIR</w:t>
            </w:r>
          </w:p>
          <w:p w14:paraId="6856ED0D"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69D0F525" w14:textId="77777777" w:rsidR="00C76757" w:rsidRPr="00046ADF" w:rsidRDefault="00C76757" w:rsidP="00EF3DEA">
            <w:pPr>
              <w:spacing w:after="0"/>
              <w:jc w:val="right"/>
              <w:rPr>
                <w:b/>
                <w:bCs/>
                <w:sz w:val="20"/>
                <w:szCs w:val="20"/>
                <w:lang w:val="pt-PT"/>
              </w:rPr>
            </w:pPr>
            <w:r w:rsidRPr="00046ADF">
              <w:rPr>
                <w:b/>
                <w:bCs/>
                <w:sz w:val="20"/>
                <w:szCs w:val="20"/>
                <w:lang w:val="pt-PT"/>
              </w:rPr>
              <w:t>Métodos para teste piloto</w:t>
            </w:r>
          </w:p>
        </w:tc>
      </w:tr>
      <w:tr w:rsidR="00C76757" w:rsidRPr="00046ADF" w14:paraId="6CEBA602" w14:textId="77777777" w:rsidTr="00EF3DEA">
        <w:tc>
          <w:tcPr>
            <w:tcW w:w="2405" w:type="dxa"/>
            <w:gridSpan w:val="2"/>
            <w:shd w:val="clear" w:color="auto" w:fill="DEEAF6" w:themeFill="accent5" w:themeFillTint="33"/>
          </w:tcPr>
          <w:p w14:paraId="53FA2432" w14:textId="77777777" w:rsidR="00C76757" w:rsidRPr="00046ADF" w:rsidRDefault="00C76757" w:rsidP="00EF3DEA">
            <w:pPr>
              <w:rPr>
                <w:b/>
                <w:lang w:val="pt-PT"/>
              </w:rPr>
            </w:pPr>
            <w:r w:rsidRPr="00046ADF">
              <w:rPr>
                <w:b/>
                <w:lang w:val="pt-PT"/>
              </w:rPr>
              <w:t>Título do método</w:t>
            </w:r>
          </w:p>
        </w:tc>
        <w:tc>
          <w:tcPr>
            <w:tcW w:w="6657" w:type="dxa"/>
            <w:gridSpan w:val="4"/>
          </w:tcPr>
          <w:p w14:paraId="3E4B6197" w14:textId="6A67FFE9" w:rsidR="00C76757" w:rsidRPr="00046ADF" w:rsidRDefault="00C76757" w:rsidP="00EF3DEA">
            <w:pPr>
              <w:rPr>
                <w:lang w:val="pt-PT"/>
              </w:rPr>
            </w:pPr>
            <w:r w:rsidRPr="00046ADF">
              <w:rPr>
                <w:lang w:val="pt-PT"/>
              </w:rPr>
              <w:t># 1 Método do país do parceiro (</w:t>
            </w:r>
            <w:r w:rsidR="00891C6A">
              <w:rPr>
                <w:lang w:val="pt-PT"/>
              </w:rPr>
              <w:t>PCM</w:t>
            </w:r>
            <w:r w:rsidRPr="00046ADF">
              <w:rPr>
                <w:lang w:val="pt-PT"/>
              </w:rPr>
              <w:t>) +</w:t>
            </w:r>
          </w:p>
        </w:tc>
      </w:tr>
      <w:tr w:rsidR="00C76757" w:rsidRPr="00891C6A" w14:paraId="53ACB1F7" w14:textId="77777777" w:rsidTr="00EF3DEA">
        <w:tc>
          <w:tcPr>
            <w:tcW w:w="2405" w:type="dxa"/>
            <w:gridSpan w:val="2"/>
            <w:shd w:val="clear" w:color="auto" w:fill="DEEAF6" w:themeFill="accent5" w:themeFillTint="33"/>
          </w:tcPr>
          <w:p w14:paraId="274C97DC" w14:textId="77777777" w:rsidR="00C76757" w:rsidRPr="00046ADF" w:rsidRDefault="00C76757" w:rsidP="00EF3DEA">
            <w:pPr>
              <w:rPr>
                <w:b/>
                <w:lang w:val="pt-PT"/>
              </w:rPr>
            </w:pPr>
            <w:r w:rsidRPr="00046ADF">
              <w:rPr>
                <w:b/>
                <w:lang w:val="pt-PT"/>
              </w:rPr>
              <w:t>Título (s) alternativo (s)</w:t>
            </w:r>
          </w:p>
        </w:tc>
        <w:tc>
          <w:tcPr>
            <w:tcW w:w="6657" w:type="dxa"/>
            <w:gridSpan w:val="4"/>
          </w:tcPr>
          <w:p w14:paraId="406A9396" w14:textId="77777777" w:rsidR="00C76757" w:rsidRPr="00046ADF" w:rsidRDefault="00C76757" w:rsidP="00EF3DEA">
            <w:pPr>
              <w:rPr>
                <w:lang w:val="pt-PT"/>
              </w:rPr>
            </w:pPr>
            <w:r w:rsidRPr="00046ADF">
              <w:rPr>
                <w:lang w:val="pt-PT"/>
              </w:rPr>
              <w:t>Assimetrias comerciais, análise de dados-espelho</w:t>
            </w:r>
          </w:p>
        </w:tc>
      </w:tr>
      <w:tr w:rsidR="00C76757" w:rsidRPr="00046ADF" w14:paraId="31B322EA" w14:textId="77777777" w:rsidTr="00EF3DEA">
        <w:tc>
          <w:tcPr>
            <w:tcW w:w="2405" w:type="dxa"/>
            <w:gridSpan w:val="2"/>
            <w:shd w:val="clear" w:color="auto" w:fill="DEEAF6" w:themeFill="accent5" w:themeFillTint="33"/>
          </w:tcPr>
          <w:p w14:paraId="23342DB8" w14:textId="77777777" w:rsidR="00C76757" w:rsidRPr="00046ADF" w:rsidRDefault="00C76757" w:rsidP="00EF3DEA">
            <w:pPr>
              <w:rPr>
                <w:b/>
                <w:lang w:val="pt-PT"/>
              </w:rPr>
            </w:pPr>
            <w:r w:rsidRPr="00046ADF">
              <w:rPr>
                <w:b/>
                <w:lang w:val="pt-PT"/>
              </w:rPr>
              <w:t>Grupo de método</w:t>
            </w:r>
          </w:p>
        </w:tc>
        <w:tc>
          <w:tcPr>
            <w:tcW w:w="6657" w:type="dxa"/>
            <w:gridSpan w:val="4"/>
          </w:tcPr>
          <w:p w14:paraId="23CAAF48" w14:textId="77777777" w:rsidR="00C76757" w:rsidRPr="00046ADF" w:rsidRDefault="00C76757" w:rsidP="00EF3DEA">
            <w:pPr>
              <w:rPr>
                <w:lang w:val="pt-PT"/>
              </w:rPr>
            </w:pPr>
            <w:r w:rsidRPr="00046ADF">
              <w:rPr>
                <w:lang w:val="pt-PT"/>
              </w:rPr>
              <w:t>Facturação comercial adulterada</w:t>
            </w:r>
          </w:p>
        </w:tc>
      </w:tr>
      <w:tr w:rsidR="00C76757" w:rsidRPr="00046ADF" w14:paraId="51ED1827" w14:textId="77777777" w:rsidTr="00EF3DEA">
        <w:tc>
          <w:tcPr>
            <w:tcW w:w="2405" w:type="dxa"/>
            <w:gridSpan w:val="2"/>
            <w:shd w:val="clear" w:color="auto" w:fill="DEEAF6" w:themeFill="accent5" w:themeFillTint="33"/>
          </w:tcPr>
          <w:p w14:paraId="404F48F8" w14:textId="77777777" w:rsidR="00C76757" w:rsidRPr="00046ADF" w:rsidRDefault="00C76757" w:rsidP="00EF3DEA">
            <w:pPr>
              <w:rPr>
                <w:b/>
                <w:lang w:val="pt-PT"/>
              </w:rPr>
            </w:pPr>
            <w:r w:rsidRPr="00046ADF">
              <w:rPr>
                <w:b/>
                <w:lang w:val="pt-PT"/>
              </w:rPr>
              <w:t>Tipo de fluxo de FFI direccionado</w:t>
            </w:r>
          </w:p>
        </w:tc>
        <w:tc>
          <w:tcPr>
            <w:tcW w:w="3827" w:type="dxa"/>
            <w:gridSpan w:val="2"/>
          </w:tcPr>
          <w:p w14:paraId="3CAF2364" w14:textId="77777777" w:rsidR="00C76757" w:rsidRPr="00046ADF" w:rsidRDefault="00C76757" w:rsidP="00EF3DEA">
            <w:pPr>
              <w:rPr>
                <w:lang w:val="pt-PT"/>
              </w:rPr>
            </w:pPr>
            <w:r w:rsidRPr="00046ADF">
              <w:rPr>
                <w:lang w:val="pt-PT"/>
              </w:rPr>
              <w:t>F2 Facturação comercial adulterada por entidades</w:t>
            </w:r>
          </w:p>
        </w:tc>
        <w:tc>
          <w:tcPr>
            <w:tcW w:w="1985" w:type="dxa"/>
            <w:shd w:val="clear" w:color="auto" w:fill="DEEAF6" w:themeFill="accent5" w:themeFillTint="33"/>
          </w:tcPr>
          <w:p w14:paraId="25ED903E"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25C356FE" w14:textId="77777777" w:rsidR="00C76757" w:rsidRPr="00046ADF" w:rsidRDefault="00C76757" w:rsidP="00EF3DEA">
            <w:pPr>
              <w:spacing w:after="0"/>
              <w:rPr>
                <w:lang w:val="pt-PT"/>
              </w:rPr>
            </w:pPr>
            <w:r w:rsidRPr="00046ADF">
              <w:rPr>
                <w:lang w:val="pt-PT"/>
              </w:rPr>
              <w:t>Camada 2</w:t>
            </w:r>
          </w:p>
        </w:tc>
      </w:tr>
      <w:tr w:rsidR="00C76757" w:rsidRPr="00046ADF" w14:paraId="7DB359EE" w14:textId="77777777" w:rsidTr="00EF3DEA">
        <w:tc>
          <w:tcPr>
            <w:tcW w:w="9062" w:type="dxa"/>
            <w:gridSpan w:val="6"/>
            <w:shd w:val="clear" w:color="auto" w:fill="DEEAF6" w:themeFill="accent5" w:themeFillTint="33"/>
          </w:tcPr>
          <w:p w14:paraId="0FC46DC2" w14:textId="77777777" w:rsidR="00C76757" w:rsidRPr="00046ADF" w:rsidRDefault="00C76757" w:rsidP="00EF3DEA">
            <w:pPr>
              <w:spacing w:after="0"/>
              <w:rPr>
                <w:lang w:val="pt-PT"/>
              </w:rPr>
            </w:pPr>
            <w:r w:rsidRPr="00046ADF">
              <w:rPr>
                <w:noProof/>
                <w:lang w:val="pt-PT"/>
              </w:rPr>
              <w:drawing>
                <wp:inline distT="0" distB="0" distL="0" distR="0" wp14:anchorId="7B993803" wp14:editId="4006B976">
                  <wp:extent cx="288000" cy="288000"/>
                  <wp:effectExtent l="0" t="0" r="0" b="0"/>
                  <wp:docPr id="55" name="Graphic 55"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891C6A" w14:paraId="346287DA" w14:textId="77777777" w:rsidTr="00EF3DEA">
        <w:tc>
          <w:tcPr>
            <w:tcW w:w="9062" w:type="dxa"/>
            <w:gridSpan w:val="6"/>
          </w:tcPr>
          <w:p w14:paraId="648DF0FA" w14:textId="77777777" w:rsidR="00C76757" w:rsidRPr="00046ADF" w:rsidRDefault="00C76757" w:rsidP="00EF3DEA">
            <w:pPr>
              <w:spacing w:after="0"/>
              <w:rPr>
                <w:lang w:val="pt-PT"/>
              </w:rPr>
            </w:pPr>
            <w:r w:rsidRPr="00046ADF">
              <w:rPr>
                <w:lang w:val="pt-PT"/>
              </w:rPr>
              <w:t>O conceito de MPP é baseado n</w:t>
            </w:r>
            <w:r>
              <w:rPr>
                <w:lang w:val="pt-PT"/>
              </w:rPr>
              <w:t>a lacuna</w:t>
            </w:r>
            <w:r w:rsidRPr="00046ADF">
              <w:rPr>
                <w:lang w:val="pt-PT"/>
              </w:rPr>
              <w:t xml:space="preserve"> comercial, definido como discrepância nos valores de uma transacção comercial de mercadorias (importação, exportação), informada de forma independente por ambos os parceiros comerciais.</w:t>
            </w:r>
          </w:p>
        </w:tc>
      </w:tr>
      <w:tr w:rsidR="00C76757" w:rsidRPr="00046ADF" w14:paraId="55A70C11" w14:textId="77777777" w:rsidTr="00EF3DEA">
        <w:tc>
          <w:tcPr>
            <w:tcW w:w="9062" w:type="dxa"/>
            <w:gridSpan w:val="6"/>
            <w:shd w:val="clear" w:color="auto" w:fill="DEEAF6" w:themeFill="accent5" w:themeFillTint="33"/>
          </w:tcPr>
          <w:p w14:paraId="430298A7" w14:textId="77777777" w:rsidR="00C76757" w:rsidRPr="00046ADF" w:rsidRDefault="00C76757" w:rsidP="00EF3DEA">
            <w:pPr>
              <w:spacing w:after="0"/>
              <w:rPr>
                <w:lang w:val="pt-PT"/>
              </w:rPr>
            </w:pPr>
            <w:r w:rsidRPr="00046ADF">
              <w:rPr>
                <w:noProof/>
                <w:lang w:val="pt-PT"/>
              </w:rPr>
              <w:drawing>
                <wp:inline distT="0" distB="0" distL="0" distR="0" wp14:anchorId="5D05ACC5" wp14:editId="3DC1F7A7">
                  <wp:extent cx="288000" cy="288000"/>
                  <wp:effectExtent l="0" t="0" r="0" b="0"/>
                  <wp:docPr id="9" name="Graphic 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046ADF" w14:paraId="44741B18" w14:textId="77777777" w:rsidTr="00EF3DEA">
        <w:tc>
          <w:tcPr>
            <w:tcW w:w="9062" w:type="dxa"/>
            <w:gridSpan w:val="6"/>
          </w:tcPr>
          <w:p w14:paraId="0486DA5F" w14:textId="77777777" w:rsidR="00C76757" w:rsidRPr="00046ADF" w:rsidRDefault="00C76757" w:rsidP="00EF3DEA">
            <w:pPr>
              <w:spacing w:after="0"/>
              <w:rPr>
                <w:rFonts w:ascii="Calibri" w:hAnsi="Calibri" w:cs="Calibri"/>
                <w:color w:val="000000"/>
                <w:lang w:val="pt-PT"/>
              </w:rPr>
            </w:pPr>
            <w:r w:rsidRPr="00046ADF">
              <w:rPr>
                <w:lang w:val="pt-PT"/>
              </w:rPr>
              <w:t>1. As estatísticas comerciais do parceiro são suficientemente precisas e comparáveis para tratar as diferenças restantes (após os ajustes) nas estatísticas espelho como facturação adulterado.</w:t>
            </w:r>
            <w:r w:rsidRPr="00046ADF">
              <w:rPr>
                <w:lang w:val="pt-PT"/>
              </w:rPr>
              <w:br/>
              <w:t>2. Dependendo dos detalhes do produto, as suposições se relacionam à homogeneidade do produto sob um código HS específico.</w:t>
            </w:r>
          </w:p>
        </w:tc>
      </w:tr>
      <w:tr w:rsidR="00C76757" w:rsidRPr="00046ADF" w14:paraId="1719BAE4" w14:textId="77777777" w:rsidTr="00EF3DEA">
        <w:tc>
          <w:tcPr>
            <w:tcW w:w="4530" w:type="dxa"/>
            <w:gridSpan w:val="3"/>
            <w:shd w:val="clear" w:color="auto" w:fill="DEEAF6" w:themeFill="accent5" w:themeFillTint="33"/>
          </w:tcPr>
          <w:p w14:paraId="3540447B" w14:textId="77777777" w:rsidR="00C76757" w:rsidRPr="00046ADF" w:rsidRDefault="00C76757" w:rsidP="00EF3DEA">
            <w:pPr>
              <w:spacing w:after="0"/>
              <w:rPr>
                <w:lang w:val="pt-PT"/>
              </w:rPr>
            </w:pPr>
            <w:r w:rsidRPr="00046ADF">
              <w:rPr>
                <w:noProof/>
                <w:lang w:val="pt-PT"/>
              </w:rPr>
              <w:drawing>
                <wp:inline distT="0" distB="0" distL="0" distR="0" wp14:anchorId="5546A5B2" wp14:editId="124F8A50">
                  <wp:extent cx="288000" cy="288000"/>
                  <wp:effectExtent l="0" t="0" r="0" b="0"/>
                  <wp:docPr id="11"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7D8FF793" w14:textId="77777777" w:rsidR="00C76757" w:rsidRPr="00046ADF" w:rsidRDefault="00C76757" w:rsidP="00EF3DEA">
            <w:pPr>
              <w:spacing w:after="0"/>
              <w:rPr>
                <w:lang w:val="pt-PT"/>
              </w:rPr>
            </w:pPr>
            <w:r w:rsidRPr="00046ADF">
              <w:rPr>
                <w:noProof/>
                <w:lang w:val="pt-PT"/>
              </w:rPr>
              <w:drawing>
                <wp:inline distT="0" distB="0" distL="0" distR="0" wp14:anchorId="1079E114" wp14:editId="2EBC70B8">
                  <wp:extent cx="288000" cy="288000"/>
                  <wp:effectExtent l="0" t="0" r="0" b="0"/>
                  <wp:docPr id="192"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74A2A978" w14:textId="77777777" w:rsidTr="00EF3DEA">
        <w:tc>
          <w:tcPr>
            <w:tcW w:w="4530" w:type="dxa"/>
            <w:gridSpan w:val="3"/>
          </w:tcPr>
          <w:p w14:paraId="5123734D"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1. Dados acessíveis.</w:t>
            </w:r>
          </w:p>
          <w:p w14:paraId="580B2CD5"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2. Conceito claro.</w:t>
            </w:r>
          </w:p>
          <w:p w14:paraId="3FC3DBBE"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3. Abundante literatura e casos.</w:t>
            </w:r>
          </w:p>
        </w:tc>
        <w:tc>
          <w:tcPr>
            <w:tcW w:w="4532" w:type="dxa"/>
            <w:gridSpan w:val="3"/>
          </w:tcPr>
          <w:p w14:paraId="57D1E53C"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1. Abordagem de cima para baixo.</w:t>
            </w:r>
          </w:p>
          <w:p w14:paraId="2A540724"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2. Misturar outras razões de discrepância comercial com FFI, incluindo uma causa metodológica conhecida, notadamente atribuição de parceiro.</w:t>
            </w:r>
          </w:p>
        </w:tc>
      </w:tr>
      <w:tr w:rsidR="00C76757" w:rsidRPr="00046ADF" w14:paraId="27BAFD44" w14:textId="77777777" w:rsidTr="00EF3DEA">
        <w:tc>
          <w:tcPr>
            <w:tcW w:w="4530" w:type="dxa"/>
            <w:gridSpan w:val="3"/>
            <w:shd w:val="clear" w:color="auto" w:fill="DEEAF6" w:themeFill="accent5" w:themeFillTint="33"/>
          </w:tcPr>
          <w:p w14:paraId="1F4C660B" w14:textId="77777777" w:rsidR="00C76757" w:rsidRPr="00046ADF" w:rsidRDefault="00C76757" w:rsidP="00EF3DEA">
            <w:pPr>
              <w:spacing w:after="0"/>
              <w:rPr>
                <w:lang w:val="pt-PT"/>
              </w:rPr>
            </w:pPr>
            <w:r w:rsidRPr="00046ADF">
              <w:rPr>
                <w:noProof/>
                <w:lang w:val="pt-PT"/>
              </w:rPr>
              <w:drawing>
                <wp:inline distT="0" distB="0" distL="0" distR="0" wp14:anchorId="0E3CFC04" wp14:editId="549CEFA2">
                  <wp:extent cx="288000" cy="288000"/>
                  <wp:effectExtent l="0" t="0" r="0" b="0"/>
                  <wp:docPr id="2"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50F37ACD" w14:textId="77777777" w:rsidR="00C76757" w:rsidRPr="00046ADF" w:rsidRDefault="00C76757" w:rsidP="00EF3DEA">
            <w:pPr>
              <w:spacing w:after="0"/>
              <w:rPr>
                <w:lang w:val="pt-PT"/>
              </w:rPr>
            </w:pPr>
            <w:r w:rsidRPr="00046ADF">
              <w:rPr>
                <w:noProof/>
                <w:lang w:val="pt-PT"/>
              </w:rPr>
              <w:drawing>
                <wp:inline distT="0" distB="0" distL="0" distR="0" wp14:anchorId="23A1ECF3" wp14:editId="160BEA9D">
                  <wp:extent cx="288000" cy="288000"/>
                  <wp:effectExtent l="0" t="0" r="0" b="0"/>
                  <wp:docPr id="193"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046ADF" w14:paraId="10711AEA" w14:textId="77777777" w:rsidTr="00EF3DEA">
        <w:tc>
          <w:tcPr>
            <w:tcW w:w="4530" w:type="dxa"/>
            <w:gridSpan w:val="3"/>
          </w:tcPr>
          <w:p w14:paraId="4B92D7AB"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1. Estatísticas de comércio bilateral (fontes nacionais, incluindo as de países parceiros, ou Comtrade das Nações Unidas, FMI DDEC).</w:t>
            </w:r>
          </w:p>
          <w:p w14:paraId="5B689D47"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2. Banco de dados de Custos de Transporte Global da UNCTAD, CTISC da OCDE ou similar para resolver discrepâncias CIF-FOB.</w:t>
            </w:r>
          </w:p>
        </w:tc>
        <w:tc>
          <w:tcPr>
            <w:tcW w:w="4532" w:type="dxa"/>
            <w:gridSpan w:val="3"/>
          </w:tcPr>
          <w:p w14:paraId="576684AF"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1. Use o nível de dados mais granular possível, a categoria mais baixa dentro da classificação do produto (ou seja, subtítulo HS para comparabilidade internacional). Além disso, use parceiros individuais para pelo menos a maior parte do comércio (por exemplo, para cobrir mais de 75% do comércio).</w:t>
            </w:r>
          </w:p>
          <w:p w14:paraId="12FD09E4"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2. Inspeccione minuciosamente as discrepâncias em mercadorias de categoria mais baixa usando vários insumos, incluindo o conhecimento de especialistas.</w:t>
            </w:r>
          </w:p>
        </w:tc>
      </w:tr>
      <w:tr w:rsidR="00C76757" w:rsidRPr="00046ADF" w14:paraId="641D875C" w14:textId="77777777" w:rsidTr="00EF3DEA">
        <w:tc>
          <w:tcPr>
            <w:tcW w:w="9062" w:type="dxa"/>
            <w:gridSpan w:val="6"/>
            <w:shd w:val="clear" w:color="auto" w:fill="DEEAF6" w:themeFill="accent5" w:themeFillTint="33"/>
          </w:tcPr>
          <w:p w14:paraId="5E22477E" w14:textId="77777777" w:rsidR="00C76757" w:rsidRPr="00046ADF" w:rsidRDefault="00C76757" w:rsidP="00EF3DEA">
            <w:pPr>
              <w:spacing w:after="0"/>
              <w:rPr>
                <w:lang w:val="pt-PT"/>
              </w:rPr>
            </w:pPr>
            <w:r w:rsidRPr="00046ADF">
              <w:rPr>
                <w:noProof/>
                <w:lang w:val="pt-PT"/>
              </w:rPr>
              <w:lastRenderedPageBreak/>
              <w:drawing>
                <wp:inline distT="0" distB="0" distL="0" distR="0" wp14:anchorId="623455AF" wp14:editId="0CC813D0">
                  <wp:extent cx="288000" cy="288000"/>
                  <wp:effectExtent l="0" t="0" r="0" b="0"/>
                  <wp:docPr id="194" name="Graphic 194"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4"/>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Cá</w:t>
            </w:r>
            <w:r>
              <w:rPr>
                <w:b/>
                <w:bCs/>
                <w:lang w:val="pt-PT"/>
              </w:rPr>
              <w:t>lcu</w:t>
            </w:r>
            <w:r w:rsidRPr="00046ADF">
              <w:rPr>
                <w:b/>
                <w:bCs/>
                <w:lang w:val="pt-PT"/>
              </w:rPr>
              <w:t>lo</w:t>
            </w:r>
          </w:p>
        </w:tc>
      </w:tr>
      <w:tr w:rsidR="00C76757" w:rsidRPr="00046ADF" w14:paraId="4A753F1F" w14:textId="77777777" w:rsidTr="00EF3DEA">
        <w:tc>
          <w:tcPr>
            <w:tcW w:w="9062" w:type="dxa"/>
            <w:gridSpan w:val="6"/>
          </w:tcPr>
          <w:p w14:paraId="5BDEC56A" w14:textId="77777777" w:rsidR="00C76757" w:rsidRPr="00046ADF" w:rsidRDefault="00C76757" w:rsidP="00EF3DEA">
            <w:pPr>
              <w:spacing w:after="0"/>
              <w:rPr>
                <w:rFonts w:ascii="Calibri" w:hAnsi="Calibri" w:cs="Calibri"/>
                <w:color w:val="000000"/>
                <w:lang w:val="pt-PT"/>
              </w:rPr>
            </w:pPr>
            <w:r>
              <w:rPr>
                <w:rFonts w:ascii="Calibri" w:hAnsi="Calibri" w:cs="Calibri"/>
                <w:color w:val="000000"/>
                <w:lang w:val="pt-PT"/>
              </w:rPr>
              <w:t>1. Observar</w:t>
            </w:r>
            <w:r w:rsidRPr="00046ADF">
              <w:rPr>
                <w:rFonts w:ascii="Calibri" w:hAnsi="Calibri" w:cs="Calibri"/>
                <w:color w:val="000000"/>
                <w:lang w:val="pt-PT"/>
              </w:rPr>
              <w:t xml:space="preserve"> a discrepância na agregação de produtos de nível mais baixo.</w:t>
            </w:r>
          </w:p>
          <w:p w14:paraId="0C484A0E"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2. Ca</w:t>
            </w:r>
            <w:r>
              <w:rPr>
                <w:rFonts w:ascii="Calibri" w:hAnsi="Calibri" w:cs="Calibri"/>
                <w:color w:val="000000"/>
                <w:lang w:val="pt-PT"/>
              </w:rPr>
              <w:t>lcula</w:t>
            </w:r>
            <w:r w:rsidRPr="00046ADF">
              <w:rPr>
                <w:rFonts w:ascii="Calibri" w:hAnsi="Calibri" w:cs="Calibri"/>
                <w:color w:val="000000"/>
                <w:lang w:val="pt-PT"/>
              </w:rPr>
              <w:t>r e aplicar a relação CIF / FOB por mercadoria, se aplicável.</w:t>
            </w:r>
          </w:p>
          <w:p w14:paraId="4C4DA6B2"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 xml:space="preserve">3. </w:t>
            </w:r>
            <w:r>
              <w:rPr>
                <w:rFonts w:ascii="Calibri" w:hAnsi="Calibri" w:cs="Calibri"/>
                <w:color w:val="000000"/>
                <w:lang w:val="pt-PT"/>
              </w:rPr>
              <w:t>Inspeccionar</w:t>
            </w:r>
            <w:r w:rsidRPr="00046ADF">
              <w:rPr>
                <w:rFonts w:ascii="Calibri" w:hAnsi="Calibri" w:cs="Calibri"/>
                <w:color w:val="000000"/>
                <w:lang w:val="pt-PT"/>
              </w:rPr>
              <w:t xml:space="preserve"> a discrepância remanescente e verifique quais factores subjacentes os conduzem. </w:t>
            </w:r>
            <w:r w:rsidRPr="00046ADF">
              <w:rPr>
                <w:rFonts w:ascii="Calibri" w:hAnsi="Calibri" w:cs="Calibri"/>
                <w:color w:val="000000"/>
                <w:lang w:val="pt-PT"/>
              </w:rPr>
              <w:br/>
            </w:r>
            <w:r>
              <w:rPr>
                <w:rFonts w:ascii="Calibri" w:hAnsi="Calibri" w:cs="Calibri"/>
                <w:color w:val="000000"/>
                <w:lang w:val="pt-PT"/>
              </w:rPr>
              <w:t>4. Aplicar</w:t>
            </w:r>
            <w:r w:rsidRPr="00046ADF">
              <w:rPr>
                <w:rFonts w:ascii="Calibri" w:hAnsi="Calibri" w:cs="Calibri"/>
                <w:color w:val="000000"/>
                <w:lang w:val="pt-PT"/>
              </w:rPr>
              <w:t xml:space="preserve"> ponderação de confiabilidade.</w:t>
            </w:r>
          </w:p>
          <w:p w14:paraId="5A00C990"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5. Tra</w:t>
            </w:r>
            <w:r>
              <w:rPr>
                <w:rFonts w:ascii="Calibri" w:hAnsi="Calibri" w:cs="Calibri"/>
                <w:color w:val="000000"/>
                <w:lang w:val="pt-PT"/>
              </w:rPr>
              <w:t>tar</w:t>
            </w:r>
            <w:r w:rsidRPr="00046ADF">
              <w:rPr>
                <w:rFonts w:ascii="Calibri" w:hAnsi="Calibri" w:cs="Calibri"/>
                <w:color w:val="000000"/>
                <w:lang w:val="pt-PT"/>
              </w:rPr>
              <w:t xml:space="preserve"> a discrepância remanescente na agregação de produtos de nível mais baixo como facturação adulterado, portanto, entradas e saídas de FFI fiscais e comerciais.</w:t>
            </w:r>
          </w:p>
          <w:p w14:paraId="6B417D6A" w14:textId="77777777" w:rsidR="00C76757" w:rsidRPr="00046ADF" w:rsidRDefault="00C76757" w:rsidP="00EF3DEA">
            <w:pPr>
              <w:spacing w:after="0"/>
              <w:rPr>
                <w:rFonts w:ascii="Calibri" w:hAnsi="Calibri" w:cs="Calibri"/>
                <w:color w:val="000000"/>
                <w:lang w:val="pt-PT"/>
              </w:rPr>
            </w:pPr>
            <w:r w:rsidRPr="00046ADF">
              <w:rPr>
                <w:rFonts w:ascii="Calibri" w:hAnsi="Calibri" w:cs="Calibri"/>
                <w:color w:val="000000"/>
                <w:lang w:val="pt-PT"/>
              </w:rPr>
              <w:t>6. Agregado # 5.</w:t>
            </w:r>
          </w:p>
        </w:tc>
      </w:tr>
      <w:tr w:rsidR="00C76757" w:rsidRPr="00046ADF" w14:paraId="1169BF04" w14:textId="77777777" w:rsidTr="00EF3DEA">
        <w:tc>
          <w:tcPr>
            <w:tcW w:w="9062" w:type="dxa"/>
            <w:gridSpan w:val="6"/>
            <w:shd w:val="clear" w:color="auto" w:fill="DEEAF6" w:themeFill="accent5" w:themeFillTint="33"/>
          </w:tcPr>
          <w:p w14:paraId="0F036C98" w14:textId="77777777" w:rsidR="00C76757" w:rsidRPr="00046ADF" w:rsidRDefault="00C76757" w:rsidP="00EF3DEA">
            <w:pPr>
              <w:spacing w:after="0"/>
              <w:rPr>
                <w:lang w:val="pt-PT"/>
              </w:rPr>
            </w:pPr>
            <w:r w:rsidRPr="00046ADF">
              <w:rPr>
                <w:noProof/>
                <w:lang w:val="pt-PT"/>
              </w:rPr>
              <w:drawing>
                <wp:inline distT="0" distB="0" distL="0" distR="0" wp14:anchorId="72ACC1FD" wp14:editId="689B0649">
                  <wp:extent cx="288000" cy="288000"/>
                  <wp:effectExtent l="0" t="0" r="0" b="0"/>
                  <wp:docPr id="16" name="Graphic 16"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Resultados</w:t>
            </w:r>
          </w:p>
        </w:tc>
      </w:tr>
      <w:tr w:rsidR="00C76757" w:rsidRPr="00046ADF" w14:paraId="270C527F" w14:textId="77777777" w:rsidTr="00EF3DEA">
        <w:tc>
          <w:tcPr>
            <w:tcW w:w="9062" w:type="dxa"/>
            <w:gridSpan w:val="6"/>
          </w:tcPr>
          <w:p w14:paraId="20D1ADFC" w14:textId="77777777" w:rsidR="00C76757" w:rsidRPr="00046ADF" w:rsidRDefault="00C76757" w:rsidP="00EF3DEA">
            <w:pPr>
              <w:spacing w:after="0"/>
              <w:rPr>
                <w:lang w:val="pt-PT"/>
              </w:rPr>
            </w:pPr>
            <w:r w:rsidRPr="00046ADF">
              <w:rPr>
                <w:lang w:val="pt-PT"/>
              </w:rPr>
              <w:t>Os resultados são apresentados para uma economia total em um nível anual: FFI internos e FFI externos.</w:t>
            </w:r>
          </w:p>
        </w:tc>
      </w:tr>
      <w:tr w:rsidR="00C76757" w:rsidRPr="00046ADF" w14:paraId="1F2175FB" w14:textId="77777777" w:rsidTr="00EF3DEA">
        <w:tc>
          <w:tcPr>
            <w:tcW w:w="9062" w:type="dxa"/>
            <w:gridSpan w:val="6"/>
            <w:shd w:val="clear" w:color="auto" w:fill="DEEAF6" w:themeFill="accent5" w:themeFillTint="33"/>
          </w:tcPr>
          <w:p w14:paraId="1EC5A396" w14:textId="77777777" w:rsidR="00C76757" w:rsidRPr="00046ADF" w:rsidRDefault="00C76757" w:rsidP="00EF3DEA">
            <w:pPr>
              <w:spacing w:after="0"/>
              <w:rPr>
                <w:lang w:val="pt-PT"/>
              </w:rPr>
            </w:pPr>
            <w:r w:rsidRPr="00046ADF">
              <w:rPr>
                <w:noProof/>
                <w:lang w:val="pt-PT"/>
              </w:rPr>
              <w:drawing>
                <wp:inline distT="0" distB="0" distL="0" distR="0" wp14:anchorId="1E4D16A2" wp14:editId="0E69FED9">
                  <wp:extent cx="288000" cy="288000"/>
                  <wp:effectExtent l="0" t="0" r="0" b="0"/>
                  <wp:docPr id="197" name="Graphic 197"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Notas especiais)</w:t>
            </w:r>
          </w:p>
        </w:tc>
      </w:tr>
      <w:tr w:rsidR="00C76757" w:rsidRPr="00046ADF" w14:paraId="640FD0C5" w14:textId="77777777" w:rsidTr="00EF3DEA">
        <w:tc>
          <w:tcPr>
            <w:tcW w:w="9062" w:type="dxa"/>
            <w:gridSpan w:val="6"/>
          </w:tcPr>
          <w:p w14:paraId="61B7D268" w14:textId="77777777" w:rsidR="00C76757" w:rsidRPr="00046ADF" w:rsidRDefault="00C76757" w:rsidP="00EF3DEA">
            <w:pPr>
              <w:spacing w:after="0"/>
              <w:rPr>
                <w:lang w:val="pt-PT"/>
              </w:rPr>
            </w:pPr>
            <w:r w:rsidRPr="00046ADF">
              <w:rPr>
                <w:lang w:val="pt-PT"/>
              </w:rPr>
              <w:t>Estreita colaboração com as unidades estatísticas das autoridades aduaneiras.</w:t>
            </w:r>
          </w:p>
        </w:tc>
      </w:tr>
      <w:tr w:rsidR="00C76757" w:rsidRPr="00046ADF" w14:paraId="35D67DEE" w14:textId="77777777" w:rsidTr="00EF3DEA">
        <w:tc>
          <w:tcPr>
            <w:tcW w:w="9062" w:type="dxa"/>
            <w:gridSpan w:val="6"/>
            <w:shd w:val="clear" w:color="auto" w:fill="DEEAF6" w:themeFill="accent5" w:themeFillTint="33"/>
          </w:tcPr>
          <w:p w14:paraId="4DC91279" w14:textId="77777777" w:rsidR="00C76757" w:rsidRPr="00046ADF" w:rsidRDefault="00C76757" w:rsidP="00EF3DEA">
            <w:pPr>
              <w:spacing w:after="0"/>
              <w:rPr>
                <w:lang w:val="pt-PT"/>
              </w:rPr>
            </w:pPr>
            <w:r w:rsidRPr="00046ADF">
              <w:rPr>
                <w:noProof/>
                <w:lang w:val="pt-PT"/>
              </w:rPr>
              <w:drawing>
                <wp:inline distT="0" distB="0" distL="0" distR="0" wp14:anchorId="136294F0" wp14:editId="47F88751">
                  <wp:extent cx="288000" cy="288000"/>
                  <wp:effectExtent l="0" t="0" r="0" b="0"/>
                  <wp:docPr id="198" name="Graphic 198"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8"/>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Estudos de caso</w:t>
            </w:r>
          </w:p>
        </w:tc>
      </w:tr>
      <w:tr w:rsidR="00C76757" w:rsidRPr="00046ADF" w14:paraId="16D9C565" w14:textId="77777777" w:rsidTr="00EF3DEA">
        <w:tc>
          <w:tcPr>
            <w:tcW w:w="9062" w:type="dxa"/>
            <w:gridSpan w:val="6"/>
          </w:tcPr>
          <w:p w14:paraId="00A9E25D" w14:textId="77777777" w:rsidR="00C76757" w:rsidRPr="00046ADF" w:rsidRDefault="00C76757" w:rsidP="00EF3DEA">
            <w:pPr>
              <w:spacing w:after="0"/>
              <w:rPr>
                <w:lang w:val="pt-PT"/>
              </w:rPr>
            </w:pPr>
            <w:r w:rsidRPr="00046ADF">
              <w:rPr>
                <w:lang w:val="pt-PT"/>
              </w:rPr>
              <w:t xml:space="preserve">1. CIF por </w:t>
            </w:r>
            <w:r>
              <w:rPr>
                <w:lang w:val="pt-PT"/>
              </w:rPr>
              <w:t>produto</w:t>
            </w:r>
            <w:r w:rsidRPr="00046ADF">
              <w:rPr>
                <w:lang w:val="pt-PT"/>
              </w:rPr>
              <w:t xml:space="preserve"> (Schuster e Davis, 2020).</w:t>
            </w:r>
          </w:p>
          <w:p w14:paraId="105DC788" w14:textId="77777777" w:rsidR="00C76757" w:rsidRPr="00046ADF" w:rsidRDefault="00C76757" w:rsidP="00EF3DEA">
            <w:pPr>
              <w:spacing w:after="0"/>
              <w:rPr>
                <w:lang w:val="pt-PT"/>
              </w:rPr>
            </w:pPr>
            <w:r w:rsidRPr="00046ADF">
              <w:rPr>
                <w:lang w:val="pt-PT"/>
              </w:rPr>
              <w:t>2. País de remessa no comércio de telefones celulares entre o Canadá e a China (UNSD, 2019).</w:t>
            </w:r>
          </w:p>
          <w:p w14:paraId="78BC534B" w14:textId="77777777" w:rsidR="00C76757" w:rsidRPr="00046ADF" w:rsidRDefault="00C76757" w:rsidP="00EF3DEA">
            <w:pPr>
              <w:spacing w:after="0"/>
              <w:rPr>
                <w:lang w:val="pt-PT"/>
              </w:rPr>
            </w:pPr>
            <w:r w:rsidRPr="00046ADF">
              <w:rPr>
                <w:lang w:val="pt-PT"/>
              </w:rPr>
              <w:t>3. Estudos conjuntos de assimetrias comerciais bilaterais (Comissão Europeia, 2009; Estatísticas do Canadá, 2019).</w:t>
            </w:r>
          </w:p>
          <w:p w14:paraId="6BD45400" w14:textId="77777777" w:rsidR="00C76757" w:rsidRPr="00046ADF" w:rsidRDefault="00C76757" w:rsidP="00EF3DEA">
            <w:pPr>
              <w:spacing w:after="0"/>
              <w:rPr>
                <w:lang w:val="pt-PT"/>
              </w:rPr>
            </w:pPr>
            <w:r w:rsidRPr="00046ADF">
              <w:rPr>
                <w:lang w:val="pt-PT"/>
              </w:rPr>
              <w:t>4. Discrepâncias de ponderação (UNECLAC, 2016).</w:t>
            </w:r>
          </w:p>
          <w:p w14:paraId="4BA76DE0" w14:textId="77777777" w:rsidR="00C76757" w:rsidRPr="00046ADF" w:rsidRDefault="00C76757" w:rsidP="00EF3DEA">
            <w:pPr>
              <w:spacing w:after="0"/>
              <w:rPr>
                <w:lang w:val="pt-PT"/>
              </w:rPr>
            </w:pPr>
            <w:r w:rsidRPr="00046ADF">
              <w:rPr>
                <w:lang w:val="pt-PT"/>
              </w:rPr>
              <w:t>5. MPP para importações da África do Sul (WCO, 2018).</w:t>
            </w:r>
          </w:p>
          <w:p w14:paraId="712EF72C" w14:textId="77777777" w:rsidR="00C76757" w:rsidRPr="00046ADF" w:rsidRDefault="00C76757" w:rsidP="00EF3DEA">
            <w:pPr>
              <w:spacing w:after="0"/>
              <w:rPr>
                <w:lang w:val="pt-PT"/>
              </w:rPr>
            </w:pPr>
            <w:r w:rsidRPr="00046ADF">
              <w:rPr>
                <w:lang w:val="pt-PT"/>
              </w:rPr>
              <w:t>6. Facturação comercial adulterada na região árabe (UNESCWA, 2016).</w:t>
            </w:r>
          </w:p>
          <w:p w14:paraId="31CD5A28" w14:textId="77777777" w:rsidR="00C76757" w:rsidRPr="00046ADF" w:rsidRDefault="00C76757" w:rsidP="00EF3DEA">
            <w:pPr>
              <w:spacing w:after="0"/>
              <w:rPr>
                <w:lang w:val="pt-PT"/>
              </w:rPr>
            </w:pPr>
            <w:r w:rsidRPr="00046ADF">
              <w:rPr>
                <w:lang w:val="pt-PT"/>
              </w:rPr>
              <w:t>7. Facturação comercial adulterada na Ásia e no Pacífico (Kravchenko, 2018).</w:t>
            </w:r>
          </w:p>
          <w:p w14:paraId="2E087E15" w14:textId="77777777" w:rsidR="00C76757" w:rsidRPr="00046ADF" w:rsidRDefault="00C76757" w:rsidP="00EF3DEA">
            <w:pPr>
              <w:spacing w:after="0"/>
              <w:rPr>
                <w:lang w:val="pt-PT"/>
              </w:rPr>
            </w:pPr>
            <w:r w:rsidRPr="00046ADF">
              <w:rPr>
                <w:lang w:val="pt-PT"/>
              </w:rPr>
              <w:t>8. Espelhe a lacuna comercial na África (Schuster e Davis, 2020).</w:t>
            </w:r>
          </w:p>
        </w:tc>
      </w:tr>
    </w:tbl>
    <w:p w14:paraId="3B767E65" w14:textId="77777777" w:rsidR="00C76757" w:rsidRPr="00046ADF" w:rsidRDefault="00C76757" w:rsidP="00C76757">
      <w:pPr>
        <w:rPr>
          <w:lang w:val="pt-PT"/>
        </w:rPr>
      </w:pPr>
    </w:p>
    <w:p w14:paraId="4BDBC634" w14:textId="77777777" w:rsidR="00C76757" w:rsidRPr="00046ADF" w:rsidRDefault="00C76757" w:rsidP="00C76757">
      <w:pPr>
        <w:rPr>
          <w:lang w:val="pt-PT"/>
        </w:rPr>
      </w:pPr>
      <w:r w:rsidRPr="00046ADF">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941"/>
      </w:tblGrid>
      <w:tr w:rsidR="00C76757" w:rsidRPr="00046ADF" w14:paraId="16ADBB54" w14:textId="77777777" w:rsidTr="00EF3DEA">
        <w:tc>
          <w:tcPr>
            <w:tcW w:w="2265" w:type="dxa"/>
            <w:tcBorders>
              <w:right w:val="nil"/>
            </w:tcBorders>
            <w:shd w:val="clear" w:color="auto" w:fill="DEEAF6" w:themeFill="accent5" w:themeFillTint="33"/>
          </w:tcPr>
          <w:p w14:paraId="494F86BE" w14:textId="77777777" w:rsidR="00C76757" w:rsidRPr="00046ADF" w:rsidRDefault="00C76757" w:rsidP="00EF3DEA">
            <w:pPr>
              <w:spacing w:after="0"/>
              <w:rPr>
                <w:lang w:val="pt-PT"/>
              </w:rPr>
            </w:pPr>
            <w:r w:rsidRPr="00046ADF">
              <w:rPr>
                <w:b/>
                <w:bCs/>
                <w:lang w:val="pt-PT"/>
              </w:rPr>
              <w:lastRenderedPageBreak/>
              <w:t>Folha de dados do método</w:t>
            </w:r>
          </w:p>
        </w:tc>
        <w:tc>
          <w:tcPr>
            <w:tcW w:w="6797" w:type="dxa"/>
            <w:gridSpan w:val="5"/>
            <w:tcBorders>
              <w:left w:val="nil"/>
            </w:tcBorders>
            <w:shd w:val="clear" w:color="auto" w:fill="DEEAF6" w:themeFill="accent5" w:themeFillTint="33"/>
          </w:tcPr>
          <w:p w14:paraId="0AF0F64D" w14:textId="77777777" w:rsidR="00C76757" w:rsidRPr="00046ADF" w:rsidRDefault="00C76757" w:rsidP="00EF3DEA">
            <w:pPr>
              <w:spacing w:after="0"/>
              <w:jc w:val="right"/>
              <w:rPr>
                <w:b/>
                <w:bCs/>
                <w:lang w:val="pt-PT"/>
              </w:rPr>
            </w:pPr>
            <w:r w:rsidRPr="00046ADF">
              <w:rPr>
                <w:b/>
                <w:bCs/>
                <w:lang w:val="pt-PT"/>
              </w:rPr>
              <w:t>DIRECTRIZES METODOLÓGICAS PARA MEDIR</w:t>
            </w:r>
          </w:p>
          <w:p w14:paraId="5925A231"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13CC10D0" w14:textId="77777777" w:rsidR="00C76757" w:rsidRPr="00046ADF" w:rsidRDefault="00C76757" w:rsidP="00EF3DEA">
            <w:pPr>
              <w:spacing w:after="0"/>
              <w:jc w:val="right"/>
              <w:rPr>
                <w:b/>
                <w:bCs/>
                <w:sz w:val="20"/>
                <w:szCs w:val="20"/>
                <w:lang w:val="pt-PT"/>
              </w:rPr>
            </w:pPr>
            <w:r w:rsidRPr="00046ADF">
              <w:rPr>
                <w:b/>
                <w:bCs/>
                <w:lang w:val="pt-PT"/>
              </w:rPr>
              <w:t>Métodos para teste piloto</w:t>
            </w:r>
          </w:p>
        </w:tc>
      </w:tr>
      <w:tr w:rsidR="00C76757" w:rsidRPr="00891C6A" w14:paraId="5272D80C" w14:textId="77777777" w:rsidTr="00EF3DEA">
        <w:tc>
          <w:tcPr>
            <w:tcW w:w="2405" w:type="dxa"/>
            <w:gridSpan w:val="2"/>
            <w:shd w:val="clear" w:color="auto" w:fill="DEEAF6" w:themeFill="accent5" w:themeFillTint="33"/>
          </w:tcPr>
          <w:p w14:paraId="21F84F19" w14:textId="77777777" w:rsidR="00C76757" w:rsidRPr="00046ADF" w:rsidRDefault="00C76757" w:rsidP="00EF3DEA">
            <w:pPr>
              <w:rPr>
                <w:b/>
                <w:lang w:val="pt-PT"/>
              </w:rPr>
            </w:pPr>
            <w:r w:rsidRPr="00046ADF">
              <w:rPr>
                <w:b/>
                <w:lang w:val="pt-PT"/>
              </w:rPr>
              <w:t>Título do método</w:t>
            </w:r>
          </w:p>
        </w:tc>
        <w:tc>
          <w:tcPr>
            <w:tcW w:w="6657" w:type="dxa"/>
            <w:gridSpan w:val="4"/>
          </w:tcPr>
          <w:p w14:paraId="4DFF33CB" w14:textId="3BD5727B" w:rsidR="00C76757" w:rsidRPr="00046ADF" w:rsidRDefault="00C76757" w:rsidP="00EF3DEA">
            <w:pPr>
              <w:rPr>
                <w:lang w:val="pt-PT"/>
              </w:rPr>
            </w:pPr>
            <w:r w:rsidRPr="00046ADF">
              <w:rPr>
                <w:lang w:val="pt-PT"/>
              </w:rPr>
              <w:t># 2 Método de filtro de preço (</w:t>
            </w:r>
            <w:r w:rsidR="00891C6A">
              <w:rPr>
                <w:lang w:val="pt-PT"/>
              </w:rPr>
              <w:t>PFM</w:t>
            </w:r>
            <w:r w:rsidRPr="00046ADF">
              <w:rPr>
                <w:lang w:val="pt-PT"/>
              </w:rPr>
              <w:t>) +</w:t>
            </w:r>
          </w:p>
        </w:tc>
      </w:tr>
      <w:tr w:rsidR="00C76757" w:rsidRPr="00046ADF" w14:paraId="427E598E" w14:textId="77777777" w:rsidTr="00EF3DEA">
        <w:tc>
          <w:tcPr>
            <w:tcW w:w="2405" w:type="dxa"/>
            <w:gridSpan w:val="2"/>
            <w:shd w:val="clear" w:color="auto" w:fill="DEEAF6" w:themeFill="accent5" w:themeFillTint="33"/>
          </w:tcPr>
          <w:p w14:paraId="1AD73461" w14:textId="77777777" w:rsidR="00C76757" w:rsidRPr="00046ADF" w:rsidRDefault="00C76757" w:rsidP="00EF3DEA">
            <w:pPr>
              <w:rPr>
                <w:b/>
                <w:lang w:val="pt-PT"/>
              </w:rPr>
            </w:pPr>
            <w:r w:rsidRPr="00046ADF">
              <w:rPr>
                <w:b/>
                <w:lang w:val="pt-PT"/>
              </w:rPr>
              <w:t>Título (s) alternativo (s)</w:t>
            </w:r>
          </w:p>
        </w:tc>
        <w:tc>
          <w:tcPr>
            <w:tcW w:w="6657" w:type="dxa"/>
            <w:gridSpan w:val="4"/>
          </w:tcPr>
          <w:p w14:paraId="4D0135EB" w14:textId="77777777" w:rsidR="00C76757" w:rsidRPr="00046ADF" w:rsidRDefault="00C76757" w:rsidP="00EF3DEA">
            <w:pPr>
              <w:rPr>
                <w:lang w:val="pt-PT"/>
              </w:rPr>
            </w:pPr>
            <w:r w:rsidRPr="00046ADF">
              <w:rPr>
                <w:lang w:val="pt-PT"/>
              </w:rPr>
              <w:t>Preços anormais</w:t>
            </w:r>
          </w:p>
        </w:tc>
      </w:tr>
      <w:tr w:rsidR="00C76757" w:rsidRPr="00046ADF" w14:paraId="6097BA86" w14:textId="77777777" w:rsidTr="00EF3DEA">
        <w:tc>
          <w:tcPr>
            <w:tcW w:w="2405" w:type="dxa"/>
            <w:gridSpan w:val="2"/>
            <w:shd w:val="clear" w:color="auto" w:fill="DEEAF6" w:themeFill="accent5" w:themeFillTint="33"/>
          </w:tcPr>
          <w:p w14:paraId="043E669E" w14:textId="77777777" w:rsidR="00C76757" w:rsidRPr="00046ADF" w:rsidRDefault="00C76757" w:rsidP="00EF3DEA">
            <w:pPr>
              <w:rPr>
                <w:b/>
                <w:lang w:val="pt-PT"/>
              </w:rPr>
            </w:pPr>
            <w:r w:rsidRPr="00046ADF">
              <w:rPr>
                <w:b/>
                <w:lang w:val="pt-PT"/>
              </w:rPr>
              <w:t>Grupo de método</w:t>
            </w:r>
          </w:p>
        </w:tc>
        <w:tc>
          <w:tcPr>
            <w:tcW w:w="6657" w:type="dxa"/>
            <w:gridSpan w:val="4"/>
          </w:tcPr>
          <w:p w14:paraId="68F3808E" w14:textId="77777777" w:rsidR="00C76757" w:rsidRPr="00046ADF" w:rsidRDefault="00C76757" w:rsidP="00EF3DEA">
            <w:pPr>
              <w:rPr>
                <w:lang w:val="pt-PT"/>
              </w:rPr>
            </w:pPr>
            <w:r w:rsidRPr="00046ADF">
              <w:rPr>
                <w:lang w:val="pt-PT"/>
              </w:rPr>
              <w:t>Facturação comercial adulterada</w:t>
            </w:r>
          </w:p>
        </w:tc>
      </w:tr>
      <w:tr w:rsidR="00C76757" w:rsidRPr="00046ADF" w14:paraId="4732E071" w14:textId="77777777" w:rsidTr="00EF3DEA">
        <w:tc>
          <w:tcPr>
            <w:tcW w:w="2405" w:type="dxa"/>
            <w:gridSpan w:val="2"/>
            <w:shd w:val="clear" w:color="auto" w:fill="DEEAF6" w:themeFill="accent5" w:themeFillTint="33"/>
          </w:tcPr>
          <w:p w14:paraId="37DB98F2" w14:textId="77777777" w:rsidR="00C76757" w:rsidRPr="00046ADF" w:rsidRDefault="00C76757" w:rsidP="00EF3DEA">
            <w:pPr>
              <w:rPr>
                <w:b/>
                <w:lang w:val="pt-PT"/>
              </w:rPr>
            </w:pPr>
            <w:bookmarkStart w:id="1" w:name="_Hlk66616892"/>
            <w:r w:rsidRPr="00046ADF">
              <w:rPr>
                <w:b/>
                <w:lang w:val="pt-PT"/>
              </w:rPr>
              <w:t>Tipo de fluxo de FFI direccionado</w:t>
            </w:r>
          </w:p>
        </w:tc>
        <w:tc>
          <w:tcPr>
            <w:tcW w:w="3827" w:type="dxa"/>
            <w:gridSpan w:val="2"/>
          </w:tcPr>
          <w:p w14:paraId="7E8755D3" w14:textId="77777777" w:rsidR="00C76757" w:rsidRPr="00046ADF" w:rsidRDefault="00C76757" w:rsidP="00EF3DEA">
            <w:pPr>
              <w:rPr>
                <w:lang w:val="pt-PT"/>
              </w:rPr>
            </w:pPr>
            <w:r w:rsidRPr="00046ADF">
              <w:rPr>
                <w:lang w:val="pt-PT"/>
              </w:rPr>
              <w:t>F2 Facturação comercial adulterada por entidades</w:t>
            </w:r>
          </w:p>
        </w:tc>
        <w:tc>
          <w:tcPr>
            <w:tcW w:w="1985" w:type="dxa"/>
            <w:shd w:val="clear" w:color="auto" w:fill="DEEAF6" w:themeFill="accent5" w:themeFillTint="33"/>
          </w:tcPr>
          <w:p w14:paraId="28F47EA8"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46ABC860" w14:textId="77777777" w:rsidR="00C76757" w:rsidRPr="00046ADF" w:rsidRDefault="00C76757" w:rsidP="00EF3DEA">
            <w:pPr>
              <w:spacing w:after="0"/>
              <w:rPr>
                <w:lang w:val="pt-PT"/>
              </w:rPr>
            </w:pPr>
            <w:r w:rsidRPr="00046ADF">
              <w:rPr>
                <w:lang w:val="pt-PT"/>
              </w:rPr>
              <w:t>Camada 1</w:t>
            </w:r>
          </w:p>
        </w:tc>
      </w:tr>
      <w:bookmarkEnd w:id="1"/>
      <w:tr w:rsidR="00C76757" w:rsidRPr="00046ADF" w14:paraId="7980A7C9" w14:textId="77777777" w:rsidTr="00EF3DEA">
        <w:tc>
          <w:tcPr>
            <w:tcW w:w="9062" w:type="dxa"/>
            <w:gridSpan w:val="6"/>
            <w:shd w:val="clear" w:color="auto" w:fill="DEEAF6" w:themeFill="accent5" w:themeFillTint="33"/>
          </w:tcPr>
          <w:p w14:paraId="05D93987" w14:textId="77777777" w:rsidR="00C76757" w:rsidRPr="00046ADF" w:rsidRDefault="00C76757" w:rsidP="00EF3DEA">
            <w:pPr>
              <w:spacing w:after="0"/>
              <w:rPr>
                <w:lang w:val="pt-PT"/>
              </w:rPr>
            </w:pPr>
            <w:r w:rsidRPr="00046ADF">
              <w:rPr>
                <w:noProof/>
                <w:lang w:val="pt-PT"/>
              </w:rPr>
              <w:drawing>
                <wp:inline distT="0" distB="0" distL="0" distR="0" wp14:anchorId="246BF6E2" wp14:editId="5CEB0861">
                  <wp:extent cx="288000" cy="288000"/>
                  <wp:effectExtent l="0" t="0" r="0" b="0"/>
                  <wp:docPr id="10" name="Graphic 10"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046ADF" w14:paraId="5B76B524" w14:textId="77777777" w:rsidTr="00EF3DEA">
        <w:tc>
          <w:tcPr>
            <w:tcW w:w="9062" w:type="dxa"/>
            <w:gridSpan w:val="6"/>
          </w:tcPr>
          <w:p w14:paraId="57B1CF9E" w14:textId="77777777" w:rsidR="00C76757" w:rsidRPr="00046ADF" w:rsidRDefault="00C76757" w:rsidP="00EF3DEA">
            <w:pPr>
              <w:spacing w:after="0"/>
              <w:rPr>
                <w:lang w:val="pt-PT"/>
              </w:rPr>
            </w:pPr>
            <w:r w:rsidRPr="00046ADF">
              <w:rPr>
                <w:lang w:val="pt-PT"/>
              </w:rPr>
              <w:t>O erro de precificação comercial ocorre quando o preço unitário de uma determinada transacção difere dos preços normais (transacção em condições normais de mercado) assumidos por um filtro de preço, ou seja, quando um preço anormal de uma determinada transacção é identificado.</w:t>
            </w:r>
          </w:p>
        </w:tc>
      </w:tr>
      <w:tr w:rsidR="00C76757" w:rsidRPr="00046ADF" w14:paraId="275AAF35" w14:textId="77777777" w:rsidTr="00EF3DEA">
        <w:tc>
          <w:tcPr>
            <w:tcW w:w="9062" w:type="dxa"/>
            <w:gridSpan w:val="6"/>
            <w:shd w:val="clear" w:color="auto" w:fill="DEEAF6" w:themeFill="accent5" w:themeFillTint="33"/>
          </w:tcPr>
          <w:p w14:paraId="741010A0" w14:textId="77777777" w:rsidR="00C76757" w:rsidRPr="00046ADF" w:rsidRDefault="00C76757" w:rsidP="00EF3DEA">
            <w:pPr>
              <w:spacing w:after="0"/>
              <w:rPr>
                <w:lang w:val="pt-PT"/>
              </w:rPr>
            </w:pPr>
            <w:r w:rsidRPr="00046ADF">
              <w:rPr>
                <w:noProof/>
                <w:lang w:val="pt-PT"/>
              </w:rPr>
              <w:drawing>
                <wp:inline distT="0" distB="0" distL="0" distR="0" wp14:anchorId="3FAD47A2" wp14:editId="75A1D5E2">
                  <wp:extent cx="288000" cy="288000"/>
                  <wp:effectExtent l="0" t="0" r="0" b="0"/>
                  <wp:docPr id="204" name="Graphic 20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891C6A" w14:paraId="6C9A9046" w14:textId="77777777" w:rsidTr="00EF3DEA">
        <w:tc>
          <w:tcPr>
            <w:tcW w:w="9062" w:type="dxa"/>
            <w:gridSpan w:val="6"/>
          </w:tcPr>
          <w:p w14:paraId="5D003914" w14:textId="77777777" w:rsidR="00C76757" w:rsidRPr="00046ADF" w:rsidRDefault="00C76757" w:rsidP="00EF3DEA">
            <w:pPr>
              <w:spacing w:after="0"/>
              <w:rPr>
                <w:lang w:val="pt-PT"/>
              </w:rPr>
            </w:pPr>
            <w:r w:rsidRPr="00046ADF">
              <w:rPr>
                <w:lang w:val="pt-PT"/>
              </w:rPr>
              <w:t>1. Os preços fora do filtro de preços são atribuídos a erros de precificação.</w:t>
            </w:r>
          </w:p>
        </w:tc>
      </w:tr>
      <w:tr w:rsidR="00C76757" w:rsidRPr="00046ADF" w14:paraId="78200FE0" w14:textId="77777777" w:rsidTr="00EF3DEA">
        <w:tc>
          <w:tcPr>
            <w:tcW w:w="4530" w:type="dxa"/>
            <w:gridSpan w:val="3"/>
            <w:shd w:val="clear" w:color="auto" w:fill="DEEAF6" w:themeFill="accent5" w:themeFillTint="33"/>
          </w:tcPr>
          <w:p w14:paraId="009DCFBC" w14:textId="77777777" w:rsidR="00C76757" w:rsidRPr="00046ADF" w:rsidRDefault="00C76757" w:rsidP="00EF3DEA">
            <w:pPr>
              <w:spacing w:after="0"/>
              <w:rPr>
                <w:lang w:val="pt-PT"/>
              </w:rPr>
            </w:pPr>
            <w:r w:rsidRPr="00046ADF">
              <w:rPr>
                <w:noProof/>
                <w:lang w:val="pt-PT"/>
              </w:rPr>
              <w:drawing>
                <wp:inline distT="0" distB="0" distL="0" distR="0" wp14:anchorId="5C973C9B" wp14:editId="30FCE9BD">
                  <wp:extent cx="288000" cy="288000"/>
                  <wp:effectExtent l="0" t="0" r="0" b="0"/>
                  <wp:docPr id="237"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41370DFA" w14:textId="77777777" w:rsidR="00C76757" w:rsidRPr="00046ADF" w:rsidRDefault="00C76757" w:rsidP="00EF3DEA">
            <w:pPr>
              <w:spacing w:after="0"/>
              <w:rPr>
                <w:lang w:val="pt-PT"/>
              </w:rPr>
            </w:pPr>
            <w:r w:rsidRPr="00046ADF">
              <w:rPr>
                <w:noProof/>
                <w:lang w:val="pt-PT"/>
              </w:rPr>
              <w:drawing>
                <wp:inline distT="0" distB="0" distL="0" distR="0" wp14:anchorId="719FD2EC" wp14:editId="1B6B8AB8">
                  <wp:extent cx="288000" cy="288000"/>
                  <wp:effectExtent l="0" t="0" r="0" b="0"/>
                  <wp:docPr id="238"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1661A6D0" w14:textId="77777777" w:rsidTr="00EF3DEA">
        <w:tc>
          <w:tcPr>
            <w:tcW w:w="4530" w:type="dxa"/>
            <w:gridSpan w:val="3"/>
          </w:tcPr>
          <w:p w14:paraId="010E0ACD" w14:textId="77777777" w:rsidR="00C76757" w:rsidRPr="00046ADF" w:rsidRDefault="00C76757" w:rsidP="00EF3DEA">
            <w:pPr>
              <w:spacing w:after="0"/>
              <w:rPr>
                <w:lang w:val="pt-PT"/>
              </w:rPr>
            </w:pPr>
            <w:r w:rsidRPr="00046ADF">
              <w:rPr>
                <w:lang w:val="pt-PT"/>
              </w:rPr>
              <w:t>1. Microdados em nível de transacção.</w:t>
            </w:r>
          </w:p>
          <w:p w14:paraId="12C108DB" w14:textId="77777777" w:rsidR="00C76757" w:rsidRPr="00046ADF" w:rsidRDefault="00C76757" w:rsidP="00EF3DEA">
            <w:pPr>
              <w:spacing w:after="0"/>
              <w:rPr>
                <w:lang w:val="pt-PT"/>
              </w:rPr>
            </w:pPr>
            <w:r w:rsidRPr="00046ADF">
              <w:rPr>
                <w:lang w:val="pt-PT"/>
              </w:rPr>
              <w:t>2. Não confia nos dados de transacção do parceiro.</w:t>
            </w:r>
          </w:p>
          <w:p w14:paraId="127D7DBF" w14:textId="77777777" w:rsidR="00C76757" w:rsidRPr="00046ADF" w:rsidRDefault="00C76757" w:rsidP="00EF3DEA">
            <w:pPr>
              <w:spacing w:after="0"/>
              <w:rPr>
                <w:lang w:val="pt-PT"/>
              </w:rPr>
            </w:pPr>
            <w:r w:rsidRPr="00046ADF">
              <w:rPr>
                <w:lang w:val="pt-PT"/>
              </w:rPr>
              <w:t>3. Abundante literatura e casos.</w:t>
            </w:r>
          </w:p>
        </w:tc>
        <w:tc>
          <w:tcPr>
            <w:tcW w:w="4532" w:type="dxa"/>
            <w:gridSpan w:val="3"/>
          </w:tcPr>
          <w:p w14:paraId="734DD29A" w14:textId="77777777" w:rsidR="00C76757" w:rsidRPr="00046ADF" w:rsidRDefault="00C76757" w:rsidP="00EF3DEA">
            <w:pPr>
              <w:spacing w:after="0"/>
              <w:rPr>
                <w:lang w:val="pt-PT"/>
              </w:rPr>
            </w:pPr>
            <w:r w:rsidRPr="00046ADF">
              <w:rPr>
                <w:lang w:val="pt-PT"/>
              </w:rPr>
              <w:t>1. Os filtros estatísticos de preços sempre encontrarão translações com preços anormais (endogeneidade).</w:t>
            </w:r>
          </w:p>
          <w:p w14:paraId="0B9547B6" w14:textId="77777777" w:rsidR="00C76757" w:rsidRPr="00046ADF" w:rsidRDefault="00C76757" w:rsidP="00EF3DEA">
            <w:pPr>
              <w:spacing w:after="0"/>
              <w:rPr>
                <w:lang w:val="pt-PT"/>
              </w:rPr>
            </w:pPr>
            <w:r w:rsidRPr="00046ADF">
              <w:rPr>
                <w:lang w:val="pt-PT"/>
              </w:rPr>
              <w:t>2. Heterogeneidade de produtos, mesmo no nível da transacção.</w:t>
            </w:r>
          </w:p>
          <w:p w14:paraId="78ECC03E" w14:textId="77777777" w:rsidR="00C76757" w:rsidRPr="00046ADF" w:rsidRDefault="00C76757" w:rsidP="00EF3DEA">
            <w:pPr>
              <w:spacing w:after="0"/>
              <w:rPr>
                <w:lang w:val="pt-PT"/>
              </w:rPr>
            </w:pPr>
            <w:r w:rsidRPr="00046ADF">
              <w:rPr>
                <w:lang w:val="pt-PT"/>
              </w:rPr>
              <w:t>3. Incapacidade de iden</w:t>
            </w:r>
            <w:r>
              <w:rPr>
                <w:lang w:val="pt-PT"/>
              </w:rPr>
              <w:t>tificar preços incomuns</w:t>
            </w:r>
            <w:r w:rsidRPr="00046ADF">
              <w:rPr>
                <w:lang w:val="pt-PT"/>
              </w:rPr>
              <w:t>, por ex. preços mais baixos oferecidos por contratos de longo prazo.</w:t>
            </w:r>
          </w:p>
          <w:p w14:paraId="2D981465" w14:textId="77777777" w:rsidR="00C76757" w:rsidRPr="00046ADF" w:rsidRDefault="00C76757" w:rsidP="00EF3DEA">
            <w:pPr>
              <w:spacing w:after="0"/>
              <w:rPr>
                <w:lang w:val="pt-PT"/>
              </w:rPr>
            </w:pPr>
            <w:r w:rsidRPr="00046ADF">
              <w:rPr>
                <w:lang w:val="pt-PT"/>
              </w:rPr>
              <w:t>4. Refere-se apenas ao cá</w:t>
            </w:r>
            <w:r>
              <w:rPr>
                <w:lang w:val="pt-PT"/>
              </w:rPr>
              <w:t>lcu</w:t>
            </w:r>
            <w:r w:rsidRPr="00046ADF">
              <w:rPr>
                <w:lang w:val="pt-PT"/>
              </w:rPr>
              <w:t>lo incorrecto (como um subconjunto do facturação adulterado).</w:t>
            </w:r>
          </w:p>
          <w:p w14:paraId="3E53228F" w14:textId="77777777" w:rsidR="00C76757" w:rsidRPr="00046ADF" w:rsidRDefault="00C76757" w:rsidP="00EF3DEA">
            <w:pPr>
              <w:spacing w:after="0"/>
              <w:rPr>
                <w:lang w:val="pt-PT"/>
              </w:rPr>
            </w:pPr>
            <w:r w:rsidRPr="00046ADF">
              <w:rPr>
                <w:lang w:val="pt-PT"/>
              </w:rPr>
              <w:t>5. Fraqueza geral no registo de informações de quantidade.</w:t>
            </w:r>
          </w:p>
        </w:tc>
      </w:tr>
      <w:tr w:rsidR="00C76757" w:rsidRPr="00046ADF" w14:paraId="3AF23222" w14:textId="77777777" w:rsidTr="00EF3DEA">
        <w:tc>
          <w:tcPr>
            <w:tcW w:w="4530" w:type="dxa"/>
            <w:gridSpan w:val="3"/>
            <w:shd w:val="clear" w:color="auto" w:fill="DEEAF6" w:themeFill="accent5" w:themeFillTint="33"/>
          </w:tcPr>
          <w:p w14:paraId="3B492B64" w14:textId="77777777" w:rsidR="00C76757" w:rsidRPr="00046ADF" w:rsidRDefault="00C76757" w:rsidP="00EF3DEA">
            <w:pPr>
              <w:spacing w:after="0"/>
              <w:rPr>
                <w:lang w:val="pt-PT"/>
              </w:rPr>
            </w:pPr>
            <w:r w:rsidRPr="00046ADF">
              <w:rPr>
                <w:noProof/>
                <w:lang w:val="pt-PT"/>
              </w:rPr>
              <w:drawing>
                <wp:inline distT="0" distB="0" distL="0" distR="0" wp14:anchorId="07B56660" wp14:editId="552526D3">
                  <wp:extent cx="288000" cy="288000"/>
                  <wp:effectExtent l="0" t="0" r="0" b="0"/>
                  <wp:docPr id="263"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01126D27" w14:textId="77777777" w:rsidR="00C76757" w:rsidRPr="00046ADF" w:rsidRDefault="00C76757" w:rsidP="00EF3DEA">
            <w:pPr>
              <w:spacing w:after="0"/>
              <w:rPr>
                <w:lang w:val="pt-PT"/>
              </w:rPr>
            </w:pPr>
            <w:r w:rsidRPr="00046ADF">
              <w:rPr>
                <w:noProof/>
                <w:lang w:val="pt-PT"/>
              </w:rPr>
              <w:drawing>
                <wp:inline distT="0" distB="0" distL="0" distR="0" wp14:anchorId="0D4F3E1A" wp14:editId="340E2FEE">
                  <wp:extent cx="288000" cy="288000"/>
                  <wp:effectExtent l="0" t="0" r="0" b="0"/>
                  <wp:docPr id="264"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046ADF" w14:paraId="3394159E" w14:textId="77777777" w:rsidTr="00EF3DEA">
        <w:tc>
          <w:tcPr>
            <w:tcW w:w="4530" w:type="dxa"/>
            <w:gridSpan w:val="3"/>
          </w:tcPr>
          <w:p w14:paraId="787A0855" w14:textId="77777777" w:rsidR="00C76757" w:rsidRPr="00046ADF" w:rsidRDefault="00C76757" w:rsidP="00EF3DEA">
            <w:pPr>
              <w:spacing w:after="0"/>
              <w:rPr>
                <w:lang w:val="pt-PT"/>
              </w:rPr>
            </w:pPr>
            <w:r w:rsidRPr="00046ADF">
              <w:rPr>
                <w:lang w:val="pt-PT"/>
              </w:rPr>
              <w:t>1. Dados ao nível da transacção das autoridades aduaneiras. É importante usar os dados antes que os ajustes para corrigir preços anormais para fins estatísticos ocorram.</w:t>
            </w:r>
          </w:p>
          <w:p w14:paraId="7C9EA334" w14:textId="77777777" w:rsidR="00C76757" w:rsidRPr="00046ADF" w:rsidRDefault="00C76757" w:rsidP="00EF3DEA">
            <w:pPr>
              <w:spacing w:after="0"/>
              <w:rPr>
                <w:lang w:val="pt-PT"/>
              </w:rPr>
            </w:pPr>
            <w:r w:rsidRPr="00046ADF">
              <w:rPr>
                <w:lang w:val="pt-PT"/>
              </w:rPr>
              <w:t>2. Preços de mercadorias no mercado livre de fontes internacionais (UNCTAD, Banco Mundial).</w:t>
            </w:r>
          </w:p>
          <w:p w14:paraId="6CE80BAE" w14:textId="77777777" w:rsidR="00C76757" w:rsidRPr="00046ADF" w:rsidRDefault="00C76757" w:rsidP="00EF3DEA">
            <w:pPr>
              <w:spacing w:after="0"/>
              <w:rPr>
                <w:lang w:val="pt-PT"/>
              </w:rPr>
            </w:pPr>
            <w:r w:rsidRPr="00046ADF">
              <w:rPr>
                <w:lang w:val="pt-PT"/>
              </w:rPr>
              <w:t>3. Intervalos de valores de unidade padrão por subtítulos HS (Comtrade das Nações Unidas).</w:t>
            </w:r>
          </w:p>
        </w:tc>
        <w:tc>
          <w:tcPr>
            <w:tcW w:w="4532" w:type="dxa"/>
            <w:gridSpan w:val="3"/>
          </w:tcPr>
          <w:p w14:paraId="1D1513EA" w14:textId="77777777" w:rsidR="00C76757" w:rsidRPr="00046ADF" w:rsidRDefault="00C76757" w:rsidP="00EF3DEA">
            <w:pPr>
              <w:spacing w:after="0"/>
              <w:rPr>
                <w:lang w:val="pt-PT"/>
              </w:rPr>
            </w:pPr>
            <w:r w:rsidRPr="00046ADF">
              <w:rPr>
                <w:lang w:val="pt-PT"/>
              </w:rPr>
              <w:t>1. Defina filtros de preços específicos para determinantes comerciais, como mercadoria, parceiro, períodos, modo de transporte.</w:t>
            </w:r>
          </w:p>
          <w:p w14:paraId="4CA9BBAB" w14:textId="77777777" w:rsidR="00C76757" w:rsidRPr="00046ADF" w:rsidRDefault="00C76757" w:rsidP="00EF3DEA">
            <w:pPr>
              <w:spacing w:after="0"/>
              <w:rPr>
                <w:lang w:val="pt-PT"/>
              </w:rPr>
            </w:pPr>
            <w:r w:rsidRPr="00046ADF">
              <w:rPr>
                <w:lang w:val="pt-PT"/>
              </w:rPr>
              <w:t>2. Use preços de mercado livre para o filtro de preços.</w:t>
            </w:r>
          </w:p>
          <w:p w14:paraId="269169C9" w14:textId="77777777" w:rsidR="00C76757" w:rsidRPr="00046ADF" w:rsidRDefault="00C76757" w:rsidP="00EF3DEA">
            <w:pPr>
              <w:spacing w:after="0"/>
              <w:rPr>
                <w:lang w:val="pt-PT"/>
              </w:rPr>
            </w:pPr>
            <w:r w:rsidRPr="00046ADF">
              <w:rPr>
                <w:lang w:val="pt-PT"/>
              </w:rPr>
              <w:t>3. Envolva e consulte especialistas, incluindo da Alfândega, sobre outliers detectados (com ou sem explicação).</w:t>
            </w:r>
          </w:p>
        </w:tc>
      </w:tr>
      <w:tr w:rsidR="00C76757" w:rsidRPr="00046ADF" w14:paraId="600DEAA2" w14:textId="77777777" w:rsidTr="00EF3DEA">
        <w:tc>
          <w:tcPr>
            <w:tcW w:w="9062" w:type="dxa"/>
            <w:gridSpan w:val="6"/>
            <w:shd w:val="clear" w:color="auto" w:fill="DEEAF6" w:themeFill="accent5" w:themeFillTint="33"/>
          </w:tcPr>
          <w:p w14:paraId="530E20D2" w14:textId="77777777" w:rsidR="00C76757" w:rsidRPr="00046ADF" w:rsidRDefault="00C76757" w:rsidP="00EF3DEA">
            <w:pPr>
              <w:spacing w:after="0"/>
              <w:rPr>
                <w:lang w:val="pt-PT"/>
              </w:rPr>
            </w:pPr>
            <w:r w:rsidRPr="00046ADF">
              <w:rPr>
                <w:noProof/>
                <w:lang w:val="pt-PT"/>
              </w:rPr>
              <w:lastRenderedPageBreak/>
              <w:drawing>
                <wp:inline distT="0" distB="0" distL="0" distR="0" wp14:anchorId="1F51980D" wp14:editId="1842F55B">
                  <wp:extent cx="288000" cy="288000"/>
                  <wp:effectExtent l="0" t="0" r="0" b="0"/>
                  <wp:docPr id="23" name="Graphic 23"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Cá</w:t>
            </w:r>
            <w:r>
              <w:rPr>
                <w:b/>
                <w:bCs/>
                <w:lang w:val="pt-PT"/>
              </w:rPr>
              <w:t>lculo</w:t>
            </w:r>
          </w:p>
        </w:tc>
      </w:tr>
      <w:tr w:rsidR="00C76757" w:rsidRPr="00891C6A" w14:paraId="64F74DF7" w14:textId="77777777" w:rsidTr="00EF3DEA">
        <w:tc>
          <w:tcPr>
            <w:tcW w:w="9062" w:type="dxa"/>
            <w:gridSpan w:val="6"/>
          </w:tcPr>
          <w:p w14:paraId="10EF3A99" w14:textId="77777777" w:rsidR="00C76757" w:rsidRPr="00046ADF" w:rsidRDefault="00C76757" w:rsidP="00EF3DEA">
            <w:pPr>
              <w:spacing w:after="0"/>
              <w:rPr>
                <w:lang w:val="pt-PT"/>
              </w:rPr>
            </w:pPr>
            <w:r w:rsidRPr="00046ADF">
              <w:rPr>
                <w:lang w:val="pt-PT"/>
              </w:rPr>
              <w:t>1. Análise exploratória de dados e preparação dos dados (remoção de outliers).</w:t>
            </w:r>
          </w:p>
          <w:p w14:paraId="44A7A8B8" w14:textId="77777777" w:rsidR="00C76757" w:rsidRPr="00046ADF" w:rsidRDefault="00C76757" w:rsidP="00EF3DEA">
            <w:pPr>
              <w:spacing w:after="0"/>
              <w:rPr>
                <w:lang w:val="pt-PT"/>
              </w:rPr>
            </w:pPr>
            <w:r w:rsidRPr="00046ADF">
              <w:rPr>
                <w:lang w:val="pt-PT"/>
              </w:rPr>
              <w:t>2. Inclua especialistas.</w:t>
            </w:r>
          </w:p>
          <w:p w14:paraId="6F0069F7" w14:textId="77777777" w:rsidR="00C76757" w:rsidRPr="00046ADF" w:rsidRDefault="00C76757" w:rsidP="00EF3DEA">
            <w:pPr>
              <w:spacing w:after="0"/>
              <w:rPr>
                <w:lang w:val="pt-PT"/>
              </w:rPr>
            </w:pPr>
            <w:r w:rsidRPr="00046ADF">
              <w:rPr>
                <w:lang w:val="pt-PT"/>
              </w:rPr>
              <w:t>3. Defina o (s) filtro (s) de preço.</w:t>
            </w:r>
            <w:r>
              <w:rPr>
                <w:lang w:val="pt-PT"/>
              </w:rPr>
              <w:t xml:space="preserve"> </w:t>
            </w:r>
            <w:r w:rsidRPr="00046ADF">
              <w:rPr>
                <w:lang w:val="pt-PT"/>
              </w:rPr>
              <w:t xml:space="preserve">4. </w:t>
            </w:r>
            <w:r w:rsidRPr="00D631FF">
              <w:rPr>
                <w:lang w:val="pt-PT"/>
              </w:rPr>
              <w:t>Calcular o montante de sobre e subpreçamento</w:t>
            </w:r>
            <w:r w:rsidRPr="00046ADF">
              <w:rPr>
                <w:lang w:val="pt-PT"/>
              </w:rPr>
              <w:t>.</w:t>
            </w:r>
          </w:p>
          <w:p w14:paraId="7DEE21BC" w14:textId="77777777" w:rsidR="00C76757" w:rsidRPr="00046ADF" w:rsidRDefault="00C76757" w:rsidP="00EF3DEA">
            <w:pPr>
              <w:spacing w:after="0"/>
              <w:rPr>
                <w:lang w:val="pt-PT"/>
              </w:rPr>
            </w:pPr>
            <w:r w:rsidRPr="00046ADF">
              <w:rPr>
                <w:lang w:val="pt-PT"/>
              </w:rPr>
              <w:t>5. Agregue para obter FFI internos, externos e totais.</w:t>
            </w:r>
          </w:p>
          <w:p w14:paraId="339136FD" w14:textId="77777777" w:rsidR="00C76757" w:rsidRPr="00046ADF" w:rsidRDefault="00C76757" w:rsidP="00EF3DEA">
            <w:pPr>
              <w:spacing w:after="0"/>
              <w:rPr>
                <w:lang w:val="pt-PT"/>
              </w:rPr>
            </w:pPr>
          </w:p>
        </w:tc>
      </w:tr>
      <w:tr w:rsidR="00C76757" w:rsidRPr="00046ADF" w14:paraId="34DDD97D" w14:textId="77777777" w:rsidTr="00EF3DEA">
        <w:tc>
          <w:tcPr>
            <w:tcW w:w="9062" w:type="dxa"/>
            <w:gridSpan w:val="6"/>
            <w:shd w:val="clear" w:color="auto" w:fill="DEEAF6" w:themeFill="accent5" w:themeFillTint="33"/>
          </w:tcPr>
          <w:p w14:paraId="7E76F68F" w14:textId="77777777" w:rsidR="00C76757" w:rsidRPr="00046ADF" w:rsidRDefault="00C76757" w:rsidP="00EF3DEA">
            <w:pPr>
              <w:spacing w:after="0"/>
              <w:rPr>
                <w:lang w:val="pt-PT"/>
              </w:rPr>
            </w:pPr>
            <w:r w:rsidRPr="00046ADF">
              <w:rPr>
                <w:noProof/>
                <w:lang w:val="pt-PT"/>
              </w:rPr>
              <w:drawing>
                <wp:inline distT="0" distB="0" distL="0" distR="0" wp14:anchorId="5BCB543C" wp14:editId="226B7A22">
                  <wp:extent cx="288000" cy="288000"/>
                  <wp:effectExtent l="0" t="0" r="0" b="0"/>
                  <wp:docPr id="24" name="Graphic 24"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4"/>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Resultados</w:t>
            </w:r>
          </w:p>
        </w:tc>
      </w:tr>
      <w:tr w:rsidR="00C76757" w:rsidRPr="00046ADF" w14:paraId="58C422E7" w14:textId="77777777" w:rsidTr="00EF3DEA">
        <w:tc>
          <w:tcPr>
            <w:tcW w:w="9062" w:type="dxa"/>
            <w:gridSpan w:val="6"/>
          </w:tcPr>
          <w:p w14:paraId="3DED6EE5" w14:textId="77777777" w:rsidR="00C76757" w:rsidRPr="00046ADF" w:rsidRDefault="00C76757" w:rsidP="00EF3DEA">
            <w:pPr>
              <w:spacing w:after="0"/>
              <w:rPr>
                <w:lang w:val="pt-PT"/>
              </w:rPr>
            </w:pPr>
            <w:r w:rsidRPr="00046ADF">
              <w:rPr>
                <w:lang w:val="pt-PT"/>
              </w:rPr>
              <w:t>Os resultados são apresentados para uma economia total em um nível anual: FFI internos e FFI externos.</w:t>
            </w:r>
          </w:p>
        </w:tc>
      </w:tr>
      <w:tr w:rsidR="00C76757" w:rsidRPr="00046ADF" w14:paraId="660DBB6B" w14:textId="77777777" w:rsidTr="00EF3DEA">
        <w:tc>
          <w:tcPr>
            <w:tcW w:w="9062" w:type="dxa"/>
            <w:gridSpan w:val="6"/>
            <w:shd w:val="clear" w:color="auto" w:fill="DEEAF6" w:themeFill="accent5" w:themeFillTint="33"/>
          </w:tcPr>
          <w:p w14:paraId="777BDE58" w14:textId="77777777" w:rsidR="00C76757" w:rsidRPr="00046ADF" w:rsidRDefault="00C76757" w:rsidP="00EF3DEA">
            <w:pPr>
              <w:spacing w:after="0"/>
              <w:rPr>
                <w:lang w:val="pt-PT"/>
              </w:rPr>
            </w:pPr>
            <w:r w:rsidRPr="00046ADF">
              <w:rPr>
                <w:noProof/>
                <w:lang w:val="pt-PT"/>
              </w:rPr>
              <w:drawing>
                <wp:inline distT="0" distB="0" distL="0" distR="0" wp14:anchorId="10393941" wp14:editId="7E56305A">
                  <wp:extent cx="288000" cy="288000"/>
                  <wp:effectExtent l="0" t="0" r="0" b="0"/>
                  <wp:docPr id="211" name="Graphic 211"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Notas especiais)</w:t>
            </w:r>
          </w:p>
        </w:tc>
      </w:tr>
      <w:tr w:rsidR="00C76757" w:rsidRPr="00046ADF" w14:paraId="7D29C5DA" w14:textId="77777777" w:rsidTr="00EF3DEA">
        <w:tc>
          <w:tcPr>
            <w:tcW w:w="9062" w:type="dxa"/>
            <w:gridSpan w:val="6"/>
          </w:tcPr>
          <w:p w14:paraId="37DBF5FA" w14:textId="77777777" w:rsidR="00C76757" w:rsidRPr="00046ADF" w:rsidRDefault="00C76757" w:rsidP="00EF3DEA">
            <w:pPr>
              <w:spacing w:after="0"/>
              <w:rPr>
                <w:lang w:val="pt-PT"/>
              </w:rPr>
            </w:pPr>
            <w:r w:rsidRPr="00046ADF">
              <w:rPr>
                <w:lang w:val="pt-PT"/>
              </w:rPr>
              <w:t>Estreita colaboração com as unidades estatísticas das autoridades aduaneiras.</w:t>
            </w:r>
          </w:p>
          <w:p w14:paraId="0C784633" w14:textId="77777777" w:rsidR="00C76757" w:rsidRPr="00046ADF" w:rsidRDefault="00C76757" w:rsidP="00EF3DEA">
            <w:pPr>
              <w:spacing w:after="0"/>
              <w:rPr>
                <w:lang w:val="pt-PT"/>
              </w:rPr>
            </w:pPr>
            <w:r w:rsidRPr="00046ADF">
              <w:rPr>
                <w:lang w:val="pt-PT"/>
              </w:rPr>
              <w:t xml:space="preserve">Se houver uma alta dependência de operações triangulares por meio de entidades intermediárias offshore localizadas em jurisdições de baixa tributação, o filtro de preço não deve ser estimado estatisticamente (tendência para baixo).  </w:t>
            </w:r>
          </w:p>
        </w:tc>
      </w:tr>
      <w:tr w:rsidR="00C76757" w:rsidRPr="00046ADF" w14:paraId="5601ECE0" w14:textId="77777777" w:rsidTr="00EF3DEA">
        <w:tc>
          <w:tcPr>
            <w:tcW w:w="9062" w:type="dxa"/>
            <w:gridSpan w:val="6"/>
            <w:shd w:val="clear" w:color="auto" w:fill="DEEAF6" w:themeFill="accent5" w:themeFillTint="33"/>
          </w:tcPr>
          <w:p w14:paraId="4698264B" w14:textId="77777777" w:rsidR="00C76757" w:rsidRPr="00046ADF" w:rsidRDefault="00C76757" w:rsidP="00EF3DEA">
            <w:pPr>
              <w:spacing w:after="0"/>
              <w:rPr>
                <w:lang w:val="pt-PT"/>
              </w:rPr>
            </w:pPr>
            <w:r w:rsidRPr="00046ADF">
              <w:rPr>
                <w:noProof/>
                <w:lang w:val="pt-PT"/>
              </w:rPr>
              <w:drawing>
                <wp:inline distT="0" distB="0" distL="0" distR="0" wp14:anchorId="4B89E04F" wp14:editId="036F1B08">
                  <wp:extent cx="288000" cy="288000"/>
                  <wp:effectExtent l="0" t="0" r="0" b="0"/>
                  <wp:docPr id="213" name="Graphic 21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3"/>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Estudos de caso</w:t>
            </w:r>
          </w:p>
        </w:tc>
      </w:tr>
      <w:tr w:rsidR="00C76757" w:rsidRPr="00891C6A" w14:paraId="29005776" w14:textId="77777777" w:rsidTr="00EF3DEA">
        <w:tc>
          <w:tcPr>
            <w:tcW w:w="9062" w:type="dxa"/>
            <w:gridSpan w:val="6"/>
          </w:tcPr>
          <w:p w14:paraId="22E94137" w14:textId="77777777" w:rsidR="00C76757" w:rsidRPr="00046ADF" w:rsidRDefault="00C76757" w:rsidP="00EF3DEA">
            <w:pPr>
              <w:spacing w:after="0"/>
              <w:rPr>
                <w:lang w:val="pt-PT"/>
              </w:rPr>
            </w:pPr>
            <w:r w:rsidRPr="00046ADF">
              <w:rPr>
                <w:lang w:val="pt-PT"/>
              </w:rPr>
              <w:t>1. O tratamento básico de dados SARS usando três passagens (WCO, 2018).</w:t>
            </w:r>
          </w:p>
          <w:p w14:paraId="6977ADC6" w14:textId="77777777" w:rsidR="00C76757" w:rsidRPr="00046ADF" w:rsidRDefault="00C76757" w:rsidP="00EF3DEA">
            <w:pPr>
              <w:spacing w:after="0"/>
              <w:rPr>
                <w:lang w:val="pt-PT"/>
              </w:rPr>
            </w:pPr>
            <w:r w:rsidRPr="00046ADF">
              <w:rPr>
                <w:lang w:val="pt-PT"/>
              </w:rPr>
              <w:t>2. Identificar especialistas nacionais para apoiar a aplicação de MFP (Ahene-Codjoe et al., 2020).</w:t>
            </w:r>
          </w:p>
          <w:p w14:paraId="2F527A1E" w14:textId="77777777" w:rsidR="00C76757" w:rsidRPr="00046ADF" w:rsidRDefault="00C76757" w:rsidP="00EF3DEA">
            <w:pPr>
              <w:spacing w:after="0"/>
              <w:rPr>
                <w:lang w:val="pt-PT"/>
              </w:rPr>
            </w:pPr>
            <w:r w:rsidRPr="00046ADF">
              <w:rPr>
                <w:lang w:val="pt-PT"/>
              </w:rPr>
              <w:t>3. Cá</w:t>
            </w:r>
            <w:r>
              <w:rPr>
                <w:lang w:val="pt-PT"/>
              </w:rPr>
              <w:t>lcul</w:t>
            </w:r>
            <w:r w:rsidRPr="00046ADF">
              <w:rPr>
                <w:lang w:val="pt-PT"/>
              </w:rPr>
              <w:t>o de preços de referência para ouro (Carbonnier e Mehrotra, 2020).</w:t>
            </w:r>
          </w:p>
          <w:p w14:paraId="0A23AE0A" w14:textId="77777777" w:rsidR="00C76757" w:rsidRPr="00046ADF" w:rsidRDefault="00C76757" w:rsidP="00EF3DEA">
            <w:pPr>
              <w:spacing w:after="0"/>
              <w:rPr>
                <w:lang w:val="pt-PT"/>
              </w:rPr>
            </w:pPr>
            <w:r w:rsidRPr="00046ADF">
              <w:rPr>
                <w:lang w:val="pt-PT"/>
              </w:rPr>
              <w:t>4. MFP para as exportações de soja em grão no Brasil (Amaral e Barcarolo, 2020).</w:t>
            </w:r>
          </w:p>
          <w:p w14:paraId="15D860A5" w14:textId="77777777" w:rsidR="00C76757" w:rsidRPr="00046ADF" w:rsidRDefault="00C76757" w:rsidP="00EF3DEA">
            <w:pPr>
              <w:spacing w:after="0"/>
              <w:rPr>
                <w:lang w:val="pt-PT"/>
              </w:rPr>
            </w:pPr>
            <w:r w:rsidRPr="00046ADF">
              <w:rPr>
                <w:lang w:val="pt-PT"/>
              </w:rPr>
              <w:t>5. Facturação comercial adulterada de produtos de cobre: um estudo de caso do Chileno e do Peru (Hanni e Podestá, 2019).</w:t>
            </w:r>
          </w:p>
        </w:tc>
      </w:tr>
    </w:tbl>
    <w:p w14:paraId="0D280237" w14:textId="77777777" w:rsidR="00C76757" w:rsidRPr="00046ADF" w:rsidRDefault="00C76757" w:rsidP="00C76757">
      <w:pPr>
        <w:rPr>
          <w:lang w:val="pt-PT"/>
        </w:rPr>
      </w:pPr>
    </w:p>
    <w:p w14:paraId="52E9C23C" w14:textId="77777777" w:rsidR="00C76757" w:rsidRPr="00046ADF" w:rsidRDefault="00C76757" w:rsidP="00C76757">
      <w:pPr>
        <w:rPr>
          <w:lang w:val="pt-PT"/>
        </w:rPr>
      </w:pPr>
    </w:p>
    <w:p w14:paraId="6CCD51DC" w14:textId="77777777" w:rsidR="00C76757" w:rsidRPr="00046ADF" w:rsidRDefault="00C76757" w:rsidP="00C76757">
      <w:pPr>
        <w:rPr>
          <w:lang w:val="pt-PT"/>
        </w:rPr>
      </w:pPr>
      <w:r w:rsidRPr="00046ADF">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C76757" w:rsidRPr="00046ADF" w14:paraId="1BAD55D5" w14:textId="77777777" w:rsidTr="00EF3DEA">
        <w:tc>
          <w:tcPr>
            <w:tcW w:w="2265" w:type="dxa"/>
            <w:tcBorders>
              <w:right w:val="nil"/>
            </w:tcBorders>
            <w:shd w:val="clear" w:color="auto" w:fill="DEEAF6" w:themeFill="accent5" w:themeFillTint="33"/>
          </w:tcPr>
          <w:p w14:paraId="1BCA4B80" w14:textId="77777777" w:rsidR="00C76757" w:rsidRPr="00046ADF" w:rsidRDefault="00C76757" w:rsidP="00EF3DEA">
            <w:pPr>
              <w:spacing w:after="0"/>
              <w:rPr>
                <w:lang w:val="pt-PT"/>
              </w:rPr>
            </w:pPr>
            <w:r w:rsidRPr="00046ADF">
              <w:rPr>
                <w:b/>
                <w:bCs/>
                <w:lang w:val="pt-PT"/>
              </w:rPr>
              <w:lastRenderedPageBreak/>
              <w:t>Folha de dados do método</w:t>
            </w:r>
          </w:p>
        </w:tc>
        <w:tc>
          <w:tcPr>
            <w:tcW w:w="6797" w:type="dxa"/>
            <w:gridSpan w:val="5"/>
            <w:tcBorders>
              <w:left w:val="nil"/>
            </w:tcBorders>
            <w:shd w:val="clear" w:color="auto" w:fill="DEEAF6" w:themeFill="accent5" w:themeFillTint="33"/>
          </w:tcPr>
          <w:p w14:paraId="3ABF3A9A" w14:textId="77777777" w:rsidR="00C76757" w:rsidRPr="00046ADF" w:rsidRDefault="00C76757" w:rsidP="00EF3DEA">
            <w:pPr>
              <w:spacing w:after="0"/>
              <w:jc w:val="right"/>
              <w:rPr>
                <w:b/>
                <w:bCs/>
                <w:lang w:val="pt-PT"/>
              </w:rPr>
            </w:pPr>
            <w:r w:rsidRPr="00046ADF">
              <w:rPr>
                <w:b/>
                <w:bCs/>
                <w:lang w:val="pt-PT"/>
              </w:rPr>
              <w:t>DIRECTRIZES METODOLÓGICAS PARA MEDIR</w:t>
            </w:r>
          </w:p>
          <w:p w14:paraId="5537FC43"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5FD579C5" w14:textId="77777777" w:rsidR="00C76757" w:rsidRPr="00046ADF" w:rsidRDefault="00C76757" w:rsidP="00EF3DEA">
            <w:pPr>
              <w:spacing w:after="0"/>
              <w:jc w:val="right"/>
              <w:rPr>
                <w:b/>
                <w:bCs/>
                <w:sz w:val="20"/>
                <w:szCs w:val="20"/>
                <w:lang w:val="pt-PT"/>
              </w:rPr>
            </w:pPr>
            <w:r w:rsidRPr="00046ADF">
              <w:rPr>
                <w:b/>
                <w:bCs/>
                <w:lang w:val="pt-PT"/>
              </w:rPr>
              <w:t>Métodos para teste piloto</w:t>
            </w:r>
          </w:p>
        </w:tc>
      </w:tr>
      <w:tr w:rsidR="00C76757" w:rsidRPr="00891C6A" w14:paraId="7AE3157B" w14:textId="77777777" w:rsidTr="00EF3DEA">
        <w:tc>
          <w:tcPr>
            <w:tcW w:w="2405" w:type="dxa"/>
            <w:gridSpan w:val="2"/>
            <w:shd w:val="clear" w:color="auto" w:fill="DEEAF6" w:themeFill="accent5" w:themeFillTint="33"/>
          </w:tcPr>
          <w:p w14:paraId="63C288FE" w14:textId="77777777" w:rsidR="00C76757" w:rsidRPr="00046ADF" w:rsidRDefault="00C76757" w:rsidP="00EF3DEA">
            <w:pPr>
              <w:rPr>
                <w:b/>
                <w:lang w:val="pt-PT"/>
              </w:rPr>
            </w:pPr>
            <w:r w:rsidRPr="00046ADF">
              <w:rPr>
                <w:b/>
                <w:lang w:val="pt-PT"/>
              </w:rPr>
              <w:t>Título do método</w:t>
            </w:r>
          </w:p>
        </w:tc>
        <w:tc>
          <w:tcPr>
            <w:tcW w:w="6657" w:type="dxa"/>
            <w:gridSpan w:val="4"/>
          </w:tcPr>
          <w:p w14:paraId="390E7674" w14:textId="277CCDEB" w:rsidR="00C76757" w:rsidRPr="00046ADF" w:rsidRDefault="00C76757" w:rsidP="00EF3DEA">
            <w:pPr>
              <w:rPr>
                <w:lang w:val="pt-PT"/>
              </w:rPr>
            </w:pPr>
            <w:r w:rsidRPr="00046ADF">
              <w:rPr>
                <w:lang w:val="pt-PT"/>
              </w:rPr>
              <w:t xml:space="preserve"># 3 </w:t>
            </w:r>
            <w:r w:rsidR="00CB2A91" w:rsidRPr="00046ADF">
              <w:rPr>
                <w:lang w:val="pt-PT"/>
              </w:rPr>
              <w:t>Distribuição global dos lucros e impostos das empresas GEM</w:t>
            </w:r>
          </w:p>
        </w:tc>
      </w:tr>
      <w:tr w:rsidR="00C76757" w:rsidRPr="00046ADF" w14:paraId="10ECC928" w14:textId="77777777" w:rsidTr="00EF3DEA">
        <w:tc>
          <w:tcPr>
            <w:tcW w:w="2405" w:type="dxa"/>
            <w:gridSpan w:val="2"/>
            <w:shd w:val="clear" w:color="auto" w:fill="DEEAF6" w:themeFill="accent5" w:themeFillTint="33"/>
          </w:tcPr>
          <w:p w14:paraId="74BC0B9D" w14:textId="77777777" w:rsidR="00C76757" w:rsidRPr="00046ADF" w:rsidRDefault="00C76757" w:rsidP="00EF3DEA">
            <w:pPr>
              <w:rPr>
                <w:b/>
                <w:lang w:val="pt-PT"/>
              </w:rPr>
            </w:pPr>
            <w:r w:rsidRPr="00046ADF">
              <w:rPr>
                <w:b/>
                <w:lang w:val="pt-PT"/>
              </w:rPr>
              <w:t>Título (s) alternativo (s)</w:t>
            </w:r>
          </w:p>
        </w:tc>
        <w:tc>
          <w:tcPr>
            <w:tcW w:w="6657" w:type="dxa"/>
            <w:gridSpan w:val="4"/>
          </w:tcPr>
          <w:p w14:paraId="6D1670A8" w14:textId="77777777" w:rsidR="00C76757" w:rsidRPr="00046ADF" w:rsidRDefault="00C76757" w:rsidP="00EF3DEA">
            <w:pPr>
              <w:rPr>
                <w:lang w:val="pt-PT"/>
              </w:rPr>
            </w:pPr>
            <w:r w:rsidRPr="00046ADF">
              <w:rPr>
                <w:lang w:val="pt-PT"/>
              </w:rPr>
              <w:t>Modelo de semi</w:t>
            </w:r>
            <w:r>
              <w:rPr>
                <w:lang w:val="pt-PT"/>
              </w:rPr>
              <w:t>-</w:t>
            </w:r>
            <w:r w:rsidRPr="00046ADF">
              <w:rPr>
                <w:lang w:val="pt-PT"/>
              </w:rPr>
              <w:t>elasticidade</w:t>
            </w:r>
          </w:p>
        </w:tc>
      </w:tr>
      <w:tr w:rsidR="00C76757" w:rsidRPr="00891C6A" w14:paraId="5A7AE152" w14:textId="77777777" w:rsidTr="00EF3DEA">
        <w:tc>
          <w:tcPr>
            <w:tcW w:w="2405" w:type="dxa"/>
            <w:gridSpan w:val="2"/>
            <w:shd w:val="clear" w:color="auto" w:fill="DEEAF6" w:themeFill="accent5" w:themeFillTint="33"/>
          </w:tcPr>
          <w:p w14:paraId="66EDBB33" w14:textId="77777777" w:rsidR="00C76757" w:rsidRPr="00046ADF" w:rsidRDefault="00C76757" w:rsidP="00EF3DEA">
            <w:pPr>
              <w:rPr>
                <w:b/>
                <w:lang w:val="pt-PT"/>
              </w:rPr>
            </w:pPr>
            <w:r w:rsidRPr="00046ADF">
              <w:rPr>
                <w:b/>
                <w:lang w:val="pt-PT"/>
              </w:rPr>
              <w:t>Grupo de método</w:t>
            </w:r>
          </w:p>
        </w:tc>
        <w:tc>
          <w:tcPr>
            <w:tcW w:w="6657" w:type="dxa"/>
            <w:gridSpan w:val="4"/>
          </w:tcPr>
          <w:p w14:paraId="49339228" w14:textId="77777777" w:rsidR="00C76757" w:rsidRPr="00046ADF" w:rsidRDefault="00C76757" w:rsidP="00EF3DEA">
            <w:pPr>
              <w:rPr>
                <w:lang w:val="pt-PT"/>
              </w:rPr>
            </w:pPr>
            <w:r w:rsidRPr="00046ADF">
              <w:rPr>
                <w:lang w:val="pt-PT"/>
              </w:rPr>
              <w:t>Prevenção de impostos agressivos ou transferência de lucros por GEM</w:t>
            </w:r>
          </w:p>
        </w:tc>
      </w:tr>
      <w:tr w:rsidR="00C76757" w:rsidRPr="00046ADF" w14:paraId="6557A256" w14:textId="77777777" w:rsidTr="00EF3DEA">
        <w:tc>
          <w:tcPr>
            <w:tcW w:w="2405" w:type="dxa"/>
            <w:gridSpan w:val="2"/>
            <w:shd w:val="clear" w:color="auto" w:fill="DEEAF6" w:themeFill="accent5" w:themeFillTint="33"/>
          </w:tcPr>
          <w:p w14:paraId="3722E9FF" w14:textId="77777777" w:rsidR="00C76757" w:rsidRPr="00046ADF" w:rsidRDefault="00C76757" w:rsidP="00EF3DEA">
            <w:pPr>
              <w:rPr>
                <w:b/>
                <w:lang w:val="pt-PT"/>
              </w:rPr>
            </w:pPr>
            <w:r w:rsidRPr="00046ADF">
              <w:rPr>
                <w:b/>
                <w:lang w:val="pt-PT"/>
              </w:rPr>
              <w:t>Tipo de fluxo de FFI direccionado</w:t>
            </w:r>
          </w:p>
        </w:tc>
        <w:tc>
          <w:tcPr>
            <w:tcW w:w="3827" w:type="dxa"/>
            <w:gridSpan w:val="2"/>
          </w:tcPr>
          <w:p w14:paraId="5177A1FE" w14:textId="77777777" w:rsidR="00C76757" w:rsidRPr="00046ADF" w:rsidRDefault="00C76757" w:rsidP="00EF3DEA">
            <w:pPr>
              <w:rPr>
                <w:lang w:val="pt-PT"/>
              </w:rPr>
            </w:pPr>
            <w:r w:rsidRPr="00046ADF">
              <w:rPr>
                <w:lang w:val="pt-PT"/>
              </w:rPr>
              <w:t>Mudança de lucro F3-F5</w:t>
            </w:r>
          </w:p>
        </w:tc>
        <w:tc>
          <w:tcPr>
            <w:tcW w:w="1985" w:type="dxa"/>
            <w:shd w:val="clear" w:color="auto" w:fill="DEEAF6" w:themeFill="accent5" w:themeFillTint="33"/>
          </w:tcPr>
          <w:p w14:paraId="758E7C9D"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764F9016" w14:textId="77777777" w:rsidR="00C76757" w:rsidRPr="00046ADF" w:rsidRDefault="00C76757" w:rsidP="00EF3DEA">
            <w:pPr>
              <w:spacing w:after="0"/>
              <w:rPr>
                <w:lang w:val="pt-PT"/>
              </w:rPr>
            </w:pPr>
            <w:r w:rsidRPr="00046ADF">
              <w:rPr>
                <w:lang w:val="pt-PT"/>
              </w:rPr>
              <w:t>Nível 3</w:t>
            </w:r>
          </w:p>
        </w:tc>
      </w:tr>
      <w:tr w:rsidR="00C76757" w:rsidRPr="00046ADF" w14:paraId="6BCDE509" w14:textId="77777777" w:rsidTr="00EF3DEA">
        <w:tc>
          <w:tcPr>
            <w:tcW w:w="9062" w:type="dxa"/>
            <w:gridSpan w:val="6"/>
            <w:shd w:val="clear" w:color="auto" w:fill="DEEAF6" w:themeFill="accent5" w:themeFillTint="33"/>
          </w:tcPr>
          <w:p w14:paraId="6DFBB14E" w14:textId="77777777" w:rsidR="00C76757" w:rsidRPr="00046ADF" w:rsidRDefault="00C76757" w:rsidP="00EF3DEA">
            <w:pPr>
              <w:spacing w:after="0"/>
              <w:rPr>
                <w:lang w:val="pt-PT"/>
              </w:rPr>
            </w:pPr>
            <w:r w:rsidRPr="00046ADF">
              <w:rPr>
                <w:noProof/>
                <w:lang w:val="pt-PT"/>
              </w:rPr>
              <w:drawing>
                <wp:inline distT="0" distB="0" distL="0" distR="0" wp14:anchorId="586CBDB3" wp14:editId="5EB653EB">
                  <wp:extent cx="288000" cy="288000"/>
                  <wp:effectExtent l="0" t="0" r="0" b="0"/>
                  <wp:docPr id="214" name="Graphic 214"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4"/>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891C6A" w14:paraId="0EC43E0F" w14:textId="77777777" w:rsidTr="00EF3DEA">
        <w:tc>
          <w:tcPr>
            <w:tcW w:w="9062" w:type="dxa"/>
            <w:gridSpan w:val="6"/>
          </w:tcPr>
          <w:p w14:paraId="54D87318" w14:textId="77777777" w:rsidR="00C76757" w:rsidRPr="00046ADF" w:rsidRDefault="00C76757" w:rsidP="00EF3DEA">
            <w:pPr>
              <w:spacing w:after="0"/>
              <w:rPr>
                <w:lang w:val="pt-PT"/>
              </w:rPr>
            </w:pPr>
            <w:r w:rsidRPr="00046ADF">
              <w:rPr>
                <w:lang w:val="pt-PT"/>
              </w:rPr>
              <w:t>O método analisa a distribuição dos lucros de uma EMN entre as suas unidades globalmente e a relaciona às taxas de imposto corporativo (efectivas) correspondentes e à actividade económica subjacente de uma unidade específica. O método assume que uma unidade GEM provavelmente deslocará lucros para fora do país se o regime tributário de outra unidade induzir uma taxa de imposto mais baixa.</w:t>
            </w:r>
          </w:p>
        </w:tc>
      </w:tr>
      <w:tr w:rsidR="00C76757" w:rsidRPr="00046ADF" w14:paraId="61962297" w14:textId="77777777" w:rsidTr="00EF3DEA">
        <w:tc>
          <w:tcPr>
            <w:tcW w:w="9062" w:type="dxa"/>
            <w:gridSpan w:val="6"/>
            <w:shd w:val="clear" w:color="auto" w:fill="DEEAF6" w:themeFill="accent5" w:themeFillTint="33"/>
          </w:tcPr>
          <w:p w14:paraId="198D6CDD" w14:textId="77777777" w:rsidR="00C76757" w:rsidRPr="00046ADF" w:rsidRDefault="00C76757" w:rsidP="00EF3DEA">
            <w:pPr>
              <w:spacing w:after="0"/>
              <w:rPr>
                <w:lang w:val="pt-PT"/>
              </w:rPr>
            </w:pPr>
            <w:r w:rsidRPr="00046ADF">
              <w:rPr>
                <w:noProof/>
                <w:lang w:val="pt-PT"/>
              </w:rPr>
              <w:drawing>
                <wp:inline distT="0" distB="0" distL="0" distR="0" wp14:anchorId="13BE3AB0" wp14:editId="03DE1D06">
                  <wp:extent cx="288000" cy="288000"/>
                  <wp:effectExtent l="0" t="0" r="0" b="0"/>
                  <wp:docPr id="217" name="Graphic 217"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891C6A" w14:paraId="3FE8E07A" w14:textId="77777777" w:rsidTr="00EF3DEA">
        <w:tc>
          <w:tcPr>
            <w:tcW w:w="9062" w:type="dxa"/>
            <w:gridSpan w:val="6"/>
          </w:tcPr>
          <w:p w14:paraId="57B9DF8F" w14:textId="77777777" w:rsidR="00C76757" w:rsidRPr="00046ADF" w:rsidRDefault="00C76757" w:rsidP="00EF3DEA">
            <w:pPr>
              <w:spacing w:after="0"/>
              <w:rPr>
                <w:lang w:val="pt-PT"/>
              </w:rPr>
            </w:pPr>
            <w:r w:rsidRPr="00046ADF">
              <w:rPr>
                <w:lang w:val="pt-PT"/>
              </w:rPr>
              <w:t>1. Qualquer desvio sistemático da lucratividade prevista da unidade é um sinal de transferência de lucro.</w:t>
            </w:r>
          </w:p>
          <w:p w14:paraId="10C24F96" w14:textId="77777777" w:rsidR="00C76757" w:rsidRPr="00046ADF" w:rsidRDefault="00C76757" w:rsidP="00EF3DEA">
            <w:pPr>
              <w:spacing w:after="0"/>
              <w:rPr>
                <w:lang w:val="pt-PT"/>
              </w:rPr>
            </w:pPr>
            <w:r w:rsidRPr="00046ADF">
              <w:rPr>
                <w:lang w:val="pt-PT"/>
              </w:rPr>
              <w:t>2. Se as taxas de impostos nacionais forem mais altas do que no país parceiro, os lucros estão sendo transferidos para fora de um país.</w:t>
            </w:r>
          </w:p>
          <w:p w14:paraId="0973F0C8" w14:textId="77777777" w:rsidR="00C76757" w:rsidRPr="00046ADF" w:rsidRDefault="00C76757" w:rsidP="00EF3DEA">
            <w:pPr>
              <w:spacing w:after="0"/>
              <w:rPr>
                <w:lang w:val="pt-PT"/>
              </w:rPr>
            </w:pPr>
            <w:r w:rsidRPr="00046ADF">
              <w:rPr>
                <w:lang w:val="pt-PT"/>
              </w:rPr>
              <w:t xml:space="preserve">3. O efeito marginal da alteração da taxa de imposto se traduz na quantidade de lucros deslocados. </w:t>
            </w:r>
          </w:p>
        </w:tc>
      </w:tr>
      <w:tr w:rsidR="00C76757" w:rsidRPr="00046ADF" w14:paraId="49044406" w14:textId="77777777" w:rsidTr="00EF3DEA">
        <w:tc>
          <w:tcPr>
            <w:tcW w:w="4530" w:type="dxa"/>
            <w:gridSpan w:val="3"/>
            <w:shd w:val="clear" w:color="auto" w:fill="DEEAF6" w:themeFill="accent5" w:themeFillTint="33"/>
          </w:tcPr>
          <w:p w14:paraId="63F88E85" w14:textId="77777777" w:rsidR="00C76757" w:rsidRPr="00046ADF" w:rsidRDefault="00C76757" w:rsidP="00EF3DEA">
            <w:pPr>
              <w:spacing w:after="0"/>
              <w:rPr>
                <w:lang w:val="pt-PT"/>
              </w:rPr>
            </w:pPr>
            <w:r w:rsidRPr="00046ADF">
              <w:rPr>
                <w:noProof/>
                <w:lang w:val="pt-PT"/>
              </w:rPr>
              <w:drawing>
                <wp:inline distT="0" distB="0" distL="0" distR="0" wp14:anchorId="7B0C33A9" wp14:editId="1E26DB59">
                  <wp:extent cx="288000" cy="288000"/>
                  <wp:effectExtent l="0" t="0" r="0" b="0"/>
                  <wp:docPr id="240"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51807B3A" w14:textId="77777777" w:rsidR="00C76757" w:rsidRPr="00046ADF" w:rsidRDefault="00C76757" w:rsidP="00EF3DEA">
            <w:pPr>
              <w:spacing w:after="0"/>
              <w:rPr>
                <w:lang w:val="pt-PT"/>
              </w:rPr>
            </w:pPr>
            <w:r w:rsidRPr="00046ADF">
              <w:rPr>
                <w:noProof/>
                <w:lang w:val="pt-PT"/>
              </w:rPr>
              <w:drawing>
                <wp:inline distT="0" distB="0" distL="0" distR="0" wp14:anchorId="53B9B009" wp14:editId="15A326C8">
                  <wp:extent cx="288000" cy="288000"/>
                  <wp:effectExtent l="0" t="0" r="0" b="0"/>
                  <wp:docPr id="256"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116D00F7" w14:textId="77777777" w:rsidTr="00EF3DEA">
        <w:tc>
          <w:tcPr>
            <w:tcW w:w="4530" w:type="dxa"/>
            <w:gridSpan w:val="3"/>
          </w:tcPr>
          <w:p w14:paraId="43B27FDC" w14:textId="77777777" w:rsidR="00C76757" w:rsidRPr="00046ADF" w:rsidRDefault="00C76757" w:rsidP="00EF3DEA">
            <w:pPr>
              <w:spacing w:after="0"/>
              <w:rPr>
                <w:lang w:val="pt-PT"/>
              </w:rPr>
            </w:pPr>
            <w:r w:rsidRPr="00046ADF">
              <w:rPr>
                <w:lang w:val="pt-PT"/>
              </w:rPr>
              <w:t>1. Conceito simples.</w:t>
            </w:r>
          </w:p>
          <w:p w14:paraId="31DFE10E" w14:textId="77777777" w:rsidR="00C76757" w:rsidRPr="00046ADF" w:rsidRDefault="00C76757" w:rsidP="00EF3DEA">
            <w:pPr>
              <w:spacing w:after="0"/>
              <w:rPr>
                <w:lang w:val="pt-PT"/>
              </w:rPr>
            </w:pPr>
            <w:r w:rsidRPr="00046ADF">
              <w:rPr>
                <w:lang w:val="pt-PT"/>
              </w:rPr>
              <w:t>2. Disponibilidade de dados.</w:t>
            </w:r>
          </w:p>
          <w:p w14:paraId="74C9B086" w14:textId="77777777" w:rsidR="00C76757" w:rsidRPr="00046ADF" w:rsidRDefault="00C76757" w:rsidP="00EF3DEA">
            <w:pPr>
              <w:spacing w:after="0"/>
              <w:rPr>
                <w:lang w:val="pt-PT"/>
              </w:rPr>
            </w:pPr>
            <w:r w:rsidRPr="00046ADF">
              <w:rPr>
                <w:lang w:val="pt-PT"/>
              </w:rPr>
              <w:t xml:space="preserve">3. Potencial para melhorias. </w:t>
            </w:r>
          </w:p>
        </w:tc>
        <w:tc>
          <w:tcPr>
            <w:tcW w:w="4532" w:type="dxa"/>
            <w:gridSpan w:val="3"/>
          </w:tcPr>
          <w:p w14:paraId="7885E7BB" w14:textId="77777777" w:rsidR="00C76757" w:rsidRPr="00046ADF" w:rsidRDefault="00C76757" w:rsidP="00EF3DEA">
            <w:pPr>
              <w:spacing w:after="0"/>
              <w:rPr>
                <w:lang w:val="pt-PT"/>
              </w:rPr>
            </w:pPr>
            <w:r w:rsidRPr="00046ADF">
              <w:rPr>
                <w:lang w:val="pt-PT"/>
              </w:rPr>
              <w:t>1. Subestima a quantidade de transferência de lucro.</w:t>
            </w:r>
          </w:p>
          <w:p w14:paraId="4417F63B" w14:textId="77777777" w:rsidR="00C76757" w:rsidRPr="00046ADF" w:rsidRDefault="00C76757" w:rsidP="00EF3DEA">
            <w:pPr>
              <w:spacing w:after="0"/>
              <w:rPr>
                <w:lang w:val="pt-PT"/>
              </w:rPr>
            </w:pPr>
            <w:r w:rsidRPr="00046ADF">
              <w:rPr>
                <w:lang w:val="pt-PT"/>
              </w:rPr>
              <w:t>2. Difícil de determinar a taxa de imposto enfrentada pela unidade GEM.</w:t>
            </w:r>
          </w:p>
          <w:p w14:paraId="664E14AA" w14:textId="77777777" w:rsidR="00C76757" w:rsidRPr="00046ADF" w:rsidRDefault="00C76757" w:rsidP="00EF3DEA">
            <w:pPr>
              <w:spacing w:after="0"/>
              <w:rPr>
                <w:lang w:val="pt-PT"/>
              </w:rPr>
            </w:pPr>
            <w:r w:rsidRPr="00046ADF">
              <w:rPr>
                <w:lang w:val="pt-PT"/>
              </w:rPr>
              <w:t>3. A sensibilidade fiscal pode variar entre diferentes regimes fiscais ou tamanho de uma EMN.</w:t>
            </w:r>
          </w:p>
          <w:p w14:paraId="5C7BB8CA" w14:textId="77777777" w:rsidR="00C76757" w:rsidRPr="00046ADF" w:rsidRDefault="00C76757" w:rsidP="00EF3DEA">
            <w:pPr>
              <w:spacing w:after="0"/>
              <w:rPr>
                <w:lang w:val="pt-PT"/>
              </w:rPr>
            </w:pPr>
            <w:r w:rsidRPr="00046ADF">
              <w:rPr>
                <w:lang w:val="pt-PT"/>
              </w:rPr>
              <w:t>4. Limitações de dados geralmente não respondem por toda a rede de unidades de GEM.</w:t>
            </w:r>
          </w:p>
        </w:tc>
      </w:tr>
      <w:tr w:rsidR="00C76757" w:rsidRPr="00046ADF" w14:paraId="6B2E5212" w14:textId="77777777" w:rsidTr="00EF3DEA">
        <w:tc>
          <w:tcPr>
            <w:tcW w:w="4530" w:type="dxa"/>
            <w:gridSpan w:val="3"/>
            <w:shd w:val="clear" w:color="auto" w:fill="DEEAF6" w:themeFill="accent5" w:themeFillTint="33"/>
          </w:tcPr>
          <w:p w14:paraId="1DCAC692" w14:textId="77777777" w:rsidR="00C76757" w:rsidRPr="00046ADF" w:rsidRDefault="00C76757" w:rsidP="00EF3DEA">
            <w:pPr>
              <w:spacing w:after="0"/>
              <w:rPr>
                <w:lang w:val="pt-PT"/>
              </w:rPr>
            </w:pPr>
            <w:r w:rsidRPr="00046ADF">
              <w:rPr>
                <w:noProof/>
                <w:lang w:val="pt-PT"/>
              </w:rPr>
              <w:drawing>
                <wp:inline distT="0" distB="0" distL="0" distR="0" wp14:anchorId="2F139482" wp14:editId="1D350E81">
                  <wp:extent cx="288000" cy="288000"/>
                  <wp:effectExtent l="0" t="0" r="0" b="0"/>
                  <wp:docPr id="265"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0730836B" w14:textId="77777777" w:rsidR="00C76757" w:rsidRPr="00046ADF" w:rsidRDefault="00C76757" w:rsidP="00EF3DEA">
            <w:pPr>
              <w:spacing w:after="0"/>
              <w:rPr>
                <w:lang w:val="pt-PT"/>
              </w:rPr>
            </w:pPr>
            <w:r w:rsidRPr="00046ADF">
              <w:rPr>
                <w:noProof/>
                <w:lang w:val="pt-PT"/>
              </w:rPr>
              <w:drawing>
                <wp:inline distT="0" distB="0" distL="0" distR="0" wp14:anchorId="177A2516" wp14:editId="43ED75A3">
                  <wp:extent cx="288000" cy="288000"/>
                  <wp:effectExtent l="0" t="0" r="0" b="0"/>
                  <wp:docPr id="266"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891C6A" w14:paraId="52C6C7A3" w14:textId="77777777" w:rsidTr="00EF3DEA">
        <w:tc>
          <w:tcPr>
            <w:tcW w:w="4530" w:type="dxa"/>
            <w:gridSpan w:val="3"/>
          </w:tcPr>
          <w:p w14:paraId="6B0F7133" w14:textId="77777777" w:rsidR="00C76757" w:rsidRPr="00046ADF" w:rsidRDefault="00C76757" w:rsidP="00EF3DEA">
            <w:pPr>
              <w:spacing w:after="0"/>
              <w:rPr>
                <w:lang w:val="pt-PT"/>
              </w:rPr>
            </w:pPr>
            <w:r w:rsidRPr="00046ADF">
              <w:rPr>
                <w:lang w:val="pt-PT"/>
              </w:rPr>
              <w:t>1. Microdados RPPC da OCDE ou, se indisponíveis, agregados a nível de país.</w:t>
            </w:r>
          </w:p>
          <w:p w14:paraId="4A76AAB0" w14:textId="77777777" w:rsidR="00C76757" w:rsidRPr="00046ADF" w:rsidRDefault="00C76757" w:rsidP="00EF3DEA">
            <w:pPr>
              <w:spacing w:after="0"/>
              <w:rPr>
                <w:lang w:val="pt-PT"/>
              </w:rPr>
            </w:pPr>
            <w:r w:rsidRPr="00046ADF">
              <w:rPr>
                <w:lang w:val="pt-PT"/>
              </w:rPr>
              <w:t xml:space="preserve">2. Se o RPPC não estiver disponível, crie um conjunto de dados de outras fontes, como os </w:t>
            </w:r>
            <w:r w:rsidRPr="00046ADF">
              <w:rPr>
                <w:lang w:val="pt-PT"/>
              </w:rPr>
              <w:lastRenderedPageBreak/>
              <w:t>bancos de dados da OCDE (BAMAI, AEMN e Tax Database), GGR, EuroGroups register ou similar.</w:t>
            </w:r>
          </w:p>
          <w:p w14:paraId="457EF0D6" w14:textId="77777777" w:rsidR="00C76757" w:rsidRPr="00046ADF" w:rsidRDefault="00C76757" w:rsidP="00EF3DEA">
            <w:pPr>
              <w:spacing w:after="0"/>
              <w:rPr>
                <w:lang w:val="pt-PT"/>
              </w:rPr>
            </w:pPr>
            <w:r w:rsidRPr="00046ADF">
              <w:rPr>
                <w:lang w:val="pt-PT"/>
              </w:rPr>
              <w:t>3. Suplementando com Dados da ONU, KPMG, Orbis</w:t>
            </w:r>
          </w:p>
        </w:tc>
        <w:tc>
          <w:tcPr>
            <w:tcW w:w="4532" w:type="dxa"/>
            <w:gridSpan w:val="3"/>
          </w:tcPr>
          <w:p w14:paraId="31EA25D9" w14:textId="77777777" w:rsidR="00C76757" w:rsidRPr="00046ADF" w:rsidRDefault="00C76757" w:rsidP="00EF3DEA">
            <w:pPr>
              <w:spacing w:after="0"/>
              <w:rPr>
                <w:lang w:val="pt-PT"/>
              </w:rPr>
            </w:pPr>
            <w:r w:rsidRPr="00046ADF">
              <w:rPr>
                <w:lang w:val="pt-PT"/>
              </w:rPr>
              <w:lastRenderedPageBreak/>
              <w:t>1. Use a taxa de imposto média efetiva.</w:t>
            </w:r>
          </w:p>
          <w:p w14:paraId="7EBAC314" w14:textId="77777777" w:rsidR="00C76757" w:rsidRPr="00046ADF" w:rsidRDefault="00C76757" w:rsidP="00EF3DEA">
            <w:pPr>
              <w:spacing w:after="0"/>
              <w:rPr>
                <w:lang w:val="pt-PT"/>
              </w:rPr>
            </w:pPr>
            <w:r w:rsidRPr="00046ADF">
              <w:rPr>
                <w:lang w:val="pt-PT"/>
              </w:rPr>
              <w:t>2. Apresente uma variável de imposto ao quadrado para contabilizar a sensibilidade fiscal desigual entre as jurisdições fiscais.</w:t>
            </w:r>
          </w:p>
          <w:p w14:paraId="5DDAE0E2" w14:textId="77777777" w:rsidR="00C76757" w:rsidRPr="00046ADF" w:rsidRDefault="00C76757" w:rsidP="00EF3DEA">
            <w:pPr>
              <w:spacing w:after="0"/>
              <w:rPr>
                <w:lang w:val="pt-PT"/>
              </w:rPr>
            </w:pPr>
            <w:r w:rsidRPr="00046ADF">
              <w:rPr>
                <w:lang w:val="pt-PT"/>
              </w:rPr>
              <w:lastRenderedPageBreak/>
              <w:t>3. Complementar a análise econométrica por interpretação usando localização, atividade econômica e comparação com grupos comparáveis.</w:t>
            </w:r>
          </w:p>
          <w:p w14:paraId="30F21971" w14:textId="77777777" w:rsidR="00C76757" w:rsidRPr="00046ADF" w:rsidRDefault="00C76757" w:rsidP="00EF3DEA">
            <w:pPr>
              <w:spacing w:after="0"/>
              <w:rPr>
                <w:lang w:val="pt-PT"/>
              </w:rPr>
            </w:pPr>
            <w:r w:rsidRPr="00046ADF">
              <w:rPr>
                <w:lang w:val="pt-PT"/>
              </w:rPr>
              <w:t>4. Dada a disponibilidade de dados e o tamanho da amostra, aplique também variações de tamanho na especificação do modelo (por exemplo, regressão quartil, regressão ponderada).</w:t>
            </w:r>
          </w:p>
        </w:tc>
      </w:tr>
      <w:tr w:rsidR="00C76757" w:rsidRPr="00046ADF" w14:paraId="37353F5D" w14:textId="77777777" w:rsidTr="00EF3DEA">
        <w:tc>
          <w:tcPr>
            <w:tcW w:w="9062" w:type="dxa"/>
            <w:gridSpan w:val="6"/>
            <w:shd w:val="clear" w:color="auto" w:fill="DEEAF6" w:themeFill="accent5" w:themeFillTint="33"/>
          </w:tcPr>
          <w:p w14:paraId="2EE58BE9" w14:textId="77777777" w:rsidR="00C76757" w:rsidRPr="00046ADF" w:rsidRDefault="00C76757" w:rsidP="00EF3DEA">
            <w:pPr>
              <w:spacing w:after="0"/>
              <w:rPr>
                <w:lang w:val="pt-PT"/>
              </w:rPr>
            </w:pPr>
            <w:r w:rsidRPr="00046ADF">
              <w:rPr>
                <w:noProof/>
                <w:lang w:val="pt-PT"/>
              </w:rPr>
              <w:lastRenderedPageBreak/>
              <w:drawing>
                <wp:inline distT="0" distB="0" distL="0" distR="0" wp14:anchorId="07C6D459" wp14:editId="71CCFD8C">
                  <wp:extent cx="288000" cy="288000"/>
                  <wp:effectExtent l="0" t="0" r="0" b="0"/>
                  <wp:docPr id="219" name="Graphic 219"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9"/>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Cá</w:t>
            </w:r>
            <w:r>
              <w:rPr>
                <w:b/>
                <w:bCs/>
                <w:lang w:val="pt-PT"/>
              </w:rPr>
              <w:t>lcul</w:t>
            </w:r>
            <w:r w:rsidRPr="00046ADF">
              <w:rPr>
                <w:b/>
                <w:bCs/>
                <w:lang w:val="pt-PT"/>
              </w:rPr>
              <w:t>o</w:t>
            </w:r>
          </w:p>
        </w:tc>
      </w:tr>
      <w:tr w:rsidR="00C76757" w:rsidRPr="00891C6A" w14:paraId="01E905A4" w14:textId="77777777" w:rsidTr="00EF3DEA">
        <w:tc>
          <w:tcPr>
            <w:tcW w:w="9062" w:type="dxa"/>
            <w:gridSpan w:val="6"/>
          </w:tcPr>
          <w:p w14:paraId="10CCA4D6" w14:textId="77777777" w:rsidR="00C76757" w:rsidRPr="00046ADF" w:rsidRDefault="00C76757" w:rsidP="00EF3DEA">
            <w:pPr>
              <w:spacing w:after="0"/>
              <w:rPr>
                <w:lang w:val="pt-PT"/>
              </w:rPr>
            </w:pPr>
            <w:r w:rsidRPr="00046ADF">
              <w:rPr>
                <w:lang w:val="pt-PT"/>
              </w:rPr>
              <w:t>1. Determine a transferência de lucro por meio da semi-elasticidade dos lucros sobre os impostos.</w:t>
            </w:r>
          </w:p>
          <w:p w14:paraId="15DC5540" w14:textId="77777777" w:rsidR="00C76757" w:rsidRPr="00046ADF" w:rsidRDefault="00C76757" w:rsidP="00EF3DEA">
            <w:pPr>
              <w:spacing w:after="0"/>
              <w:rPr>
                <w:lang w:val="pt-PT"/>
              </w:rPr>
            </w:pPr>
            <w:r w:rsidRPr="00046ADF">
              <w:rPr>
                <w:lang w:val="pt-PT"/>
              </w:rPr>
              <w:t>2. Meça a quantidade de lucros deslocados.</w:t>
            </w:r>
          </w:p>
          <w:p w14:paraId="40BF31DF" w14:textId="77777777" w:rsidR="00C76757" w:rsidRPr="00046ADF" w:rsidRDefault="00C76757" w:rsidP="00EF3DEA">
            <w:pPr>
              <w:spacing w:after="0"/>
              <w:rPr>
                <w:lang w:val="pt-PT"/>
              </w:rPr>
            </w:pPr>
            <w:r w:rsidRPr="00046ADF">
              <w:rPr>
                <w:lang w:val="pt-PT"/>
              </w:rPr>
              <w:t>3. Agregue para obter FFI internos, externos e totais.</w:t>
            </w:r>
          </w:p>
        </w:tc>
      </w:tr>
      <w:tr w:rsidR="00C76757" w:rsidRPr="00046ADF" w14:paraId="44D216DD" w14:textId="77777777" w:rsidTr="00EF3DEA">
        <w:tc>
          <w:tcPr>
            <w:tcW w:w="9062" w:type="dxa"/>
            <w:gridSpan w:val="6"/>
            <w:shd w:val="clear" w:color="auto" w:fill="DEEAF6" w:themeFill="accent5" w:themeFillTint="33"/>
          </w:tcPr>
          <w:p w14:paraId="638A1EF2" w14:textId="77777777" w:rsidR="00C76757" w:rsidRPr="00046ADF" w:rsidRDefault="00C76757" w:rsidP="00EF3DEA">
            <w:pPr>
              <w:spacing w:after="0"/>
              <w:rPr>
                <w:lang w:val="pt-PT"/>
              </w:rPr>
            </w:pPr>
            <w:r w:rsidRPr="00046ADF">
              <w:rPr>
                <w:noProof/>
                <w:lang w:val="pt-PT"/>
              </w:rPr>
              <w:drawing>
                <wp:inline distT="0" distB="0" distL="0" distR="0" wp14:anchorId="6027CBEF" wp14:editId="71C77533">
                  <wp:extent cx="288000" cy="288000"/>
                  <wp:effectExtent l="0" t="0" r="0" b="0"/>
                  <wp:docPr id="35" name="Graphic 35"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Resultados</w:t>
            </w:r>
          </w:p>
        </w:tc>
      </w:tr>
      <w:tr w:rsidR="00C76757" w:rsidRPr="00046ADF" w14:paraId="5913EED3" w14:textId="77777777" w:rsidTr="00EF3DEA">
        <w:tc>
          <w:tcPr>
            <w:tcW w:w="9062" w:type="dxa"/>
            <w:gridSpan w:val="6"/>
          </w:tcPr>
          <w:p w14:paraId="4AC3EACF" w14:textId="77777777" w:rsidR="00C76757" w:rsidRPr="00046ADF" w:rsidRDefault="00C76757" w:rsidP="00EF3DEA">
            <w:pPr>
              <w:spacing w:after="0"/>
              <w:rPr>
                <w:lang w:val="pt-PT"/>
              </w:rPr>
            </w:pPr>
            <w:r w:rsidRPr="00046ADF">
              <w:rPr>
                <w:lang w:val="pt-PT"/>
              </w:rPr>
              <w:t>Os resultados são apresentados para uma economia total em um nível anual: FFI internos e FFI externos.</w:t>
            </w:r>
          </w:p>
        </w:tc>
      </w:tr>
      <w:tr w:rsidR="00C76757" w:rsidRPr="00046ADF" w14:paraId="4EA6BB9B" w14:textId="77777777" w:rsidTr="00EF3DEA">
        <w:tc>
          <w:tcPr>
            <w:tcW w:w="9062" w:type="dxa"/>
            <w:gridSpan w:val="6"/>
            <w:shd w:val="clear" w:color="auto" w:fill="DEEAF6" w:themeFill="accent5" w:themeFillTint="33"/>
          </w:tcPr>
          <w:p w14:paraId="6CBDF682" w14:textId="77777777" w:rsidR="00C76757" w:rsidRPr="00046ADF" w:rsidRDefault="00C76757" w:rsidP="00EF3DEA">
            <w:pPr>
              <w:spacing w:after="0"/>
              <w:rPr>
                <w:lang w:val="pt-PT"/>
              </w:rPr>
            </w:pPr>
            <w:r w:rsidRPr="00046ADF">
              <w:rPr>
                <w:noProof/>
                <w:lang w:val="pt-PT"/>
              </w:rPr>
              <w:drawing>
                <wp:inline distT="0" distB="0" distL="0" distR="0" wp14:anchorId="0BE81C84" wp14:editId="629AB883">
                  <wp:extent cx="288000" cy="288000"/>
                  <wp:effectExtent l="0" t="0" r="0" b="0"/>
                  <wp:docPr id="36" name="Graphic 36"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Notas especiais)</w:t>
            </w:r>
          </w:p>
        </w:tc>
      </w:tr>
      <w:tr w:rsidR="00C76757" w:rsidRPr="00891C6A" w14:paraId="32F7B9A1" w14:textId="77777777" w:rsidTr="00EF3DEA">
        <w:tc>
          <w:tcPr>
            <w:tcW w:w="9062" w:type="dxa"/>
            <w:gridSpan w:val="6"/>
          </w:tcPr>
          <w:p w14:paraId="6D78162D" w14:textId="77777777" w:rsidR="00C76757" w:rsidRPr="00046ADF" w:rsidRDefault="00C76757" w:rsidP="00EF3DEA">
            <w:pPr>
              <w:spacing w:after="0"/>
              <w:rPr>
                <w:lang w:val="pt-PT"/>
              </w:rPr>
            </w:pPr>
            <w:r w:rsidRPr="00046ADF">
              <w:rPr>
                <w:lang w:val="pt-PT"/>
              </w:rPr>
              <w:t>A premissa do método é que os lucros sejam deslocados para fora de um país, sendo estudos de jurisdição de alta tributação; potencialmente, ele pode ser usado para jurisdição de baixa tributação, em ambos os casos o método provavelmente fornecerá apen</w:t>
            </w:r>
            <w:r>
              <w:rPr>
                <w:lang w:val="pt-PT"/>
              </w:rPr>
              <w:t>a</w:t>
            </w:r>
            <w:r w:rsidRPr="00046ADF">
              <w:rPr>
                <w:lang w:val="pt-PT"/>
              </w:rPr>
              <w:t xml:space="preserve">s FFI internos ou externos. Com cobertura suficiente de todas as unidades de EMs nacionais e estrangeiras, espera-se que sejam alcançados resultados simultâneos de ambos os fluxos de FFI. </w:t>
            </w:r>
          </w:p>
        </w:tc>
      </w:tr>
      <w:tr w:rsidR="00C76757" w:rsidRPr="00046ADF" w14:paraId="62048ED8" w14:textId="77777777" w:rsidTr="00EF3DEA">
        <w:tc>
          <w:tcPr>
            <w:tcW w:w="9062" w:type="dxa"/>
            <w:gridSpan w:val="6"/>
            <w:shd w:val="clear" w:color="auto" w:fill="DEEAF6" w:themeFill="accent5" w:themeFillTint="33"/>
          </w:tcPr>
          <w:p w14:paraId="649923F0" w14:textId="77777777" w:rsidR="00C76757" w:rsidRPr="00046ADF" w:rsidRDefault="00C76757" w:rsidP="00EF3DEA">
            <w:pPr>
              <w:spacing w:after="0"/>
              <w:rPr>
                <w:lang w:val="pt-PT"/>
              </w:rPr>
            </w:pPr>
            <w:r w:rsidRPr="00046ADF">
              <w:rPr>
                <w:noProof/>
                <w:lang w:val="pt-PT"/>
              </w:rPr>
              <w:drawing>
                <wp:inline distT="0" distB="0" distL="0" distR="0" wp14:anchorId="64A55B25" wp14:editId="36A68750">
                  <wp:extent cx="288000" cy="288000"/>
                  <wp:effectExtent l="0" t="0" r="0" b="0"/>
                  <wp:docPr id="37" name="Graphic 37"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Estudos de caso</w:t>
            </w:r>
          </w:p>
        </w:tc>
      </w:tr>
      <w:tr w:rsidR="00C76757" w:rsidRPr="00891C6A" w14:paraId="686EDE30" w14:textId="77777777" w:rsidTr="00EF3DEA">
        <w:tc>
          <w:tcPr>
            <w:tcW w:w="9062" w:type="dxa"/>
            <w:gridSpan w:val="6"/>
          </w:tcPr>
          <w:p w14:paraId="63E8DA72" w14:textId="77777777" w:rsidR="00C76757" w:rsidRPr="00046ADF" w:rsidRDefault="00C76757" w:rsidP="00EF3DEA">
            <w:pPr>
              <w:spacing w:after="0"/>
              <w:rPr>
                <w:lang w:val="pt-PT"/>
              </w:rPr>
            </w:pPr>
            <w:r w:rsidRPr="00046ADF">
              <w:rPr>
                <w:lang w:val="pt-PT"/>
              </w:rPr>
              <w:t>1. Estimativa da transferência de lucros na África do Sul usando declarações de impostos no nível da empresa (Reynolds e Wier, 2016; Wier e Reynolds, 2018).</w:t>
            </w:r>
          </w:p>
          <w:p w14:paraId="7711296B" w14:textId="77777777" w:rsidR="00C76757" w:rsidRPr="00046ADF" w:rsidRDefault="00C76757" w:rsidP="00EF3DEA">
            <w:pPr>
              <w:spacing w:after="0"/>
              <w:rPr>
                <w:lang w:val="pt-PT"/>
              </w:rPr>
            </w:pPr>
            <w:r w:rsidRPr="00046ADF">
              <w:rPr>
                <w:lang w:val="pt-PT"/>
              </w:rPr>
              <w:t>2. Transferência de lucros na Alemanha usando dados de relatórios por país (Fuest et al., 2021).</w:t>
            </w:r>
          </w:p>
        </w:tc>
      </w:tr>
    </w:tbl>
    <w:p w14:paraId="004EBC12" w14:textId="77777777" w:rsidR="00C76757" w:rsidRPr="00046ADF" w:rsidRDefault="00C76757" w:rsidP="00C76757">
      <w:pPr>
        <w:rPr>
          <w:lang w:val="pt-PT"/>
        </w:rPr>
      </w:pPr>
    </w:p>
    <w:p w14:paraId="6791AFD7" w14:textId="77777777" w:rsidR="00C76757" w:rsidRPr="00046ADF" w:rsidRDefault="00C76757" w:rsidP="00C76757">
      <w:pPr>
        <w:rPr>
          <w:lang w:val="pt-PT"/>
        </w:rPr>
      </w:pPr>
    </w:p>
    <w:p w14:paraId="5B13B8E0" w14:textId="77777777" w:rsidR="00C76757" w:rsidRPr="00046ADF" w:rsidRDefault="00C76757" w:rsidP="00C76757">
      <w:pPr>
        <w:rPr>
          <w:lang w:val="pt-PT"/>
        </w:rPr>
      </w:pPr>
      <w:r w:rsidRPr="00046ADF">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941"/>
      </w:tblGrid>
      <w:tr w:rsidR="00C76757" w:rsidRPr="00046ADF" w14:paraId="5D0C6D01" w14:textId="77777777" w:rsidTr="00EF3DEA">
        <w:tc>
          <w:tcPr>
            <w:tcW w:w="2265" w:type="dxa"/>
            <w:tcBorders>
              <w:right w:val="nil"/>
            </w:tcBorders>
            <w:shd w:val="clear" w:color="auto" w:fill="DEEAF6" w:themeFill="accent5" w:themeFillTint="33"/>
          </w:tcPr>
          <w:p w14:paraId="1EA85593" w14:textId="77777777" w:rsidR="00C76757" w:rsidRPr="00046ADF" w:rsidRDefault="00C76757" w:rsidP="00EF3DEA">
            <w:pPr>
              <w:spacing w:after="0"/>
              <w:rPr>
                <w:lang w:val="pt-PT"/>
              </w:rPr>
            </w:pPr>
            <w:r w:rsidRPr="00046ADF">
              <w:rPr>
                <w:b/>
                <w:bCs/>
                <w:lang w:val="pt-PT"/>
              </w:rPr>
              <w:lastRenderedPageBreak/>
              <w:t>Folha de dados do método</w:t>
            </w:r>
          </w:p>
        </w:tc>
        <w:tc>
          <w:tcPr>
            <w:tcW w:w="6797" w:type="dxa"/>
            <w:gridSpan w:val="5"/>
            <w:tcBorders>
              <w:left w:val="nil"/>
            </w:tcBorders>
            <w:shd w:val="clear" w:color="auto" w:fill="DEEAF6" w:themeFill="accent5" w:themeFillTint="33"/>
          </w:tcPr>
          <w:p w14:paraId="3AE7A6F8" w14:textId="77777777" w:rsidR="00C76757" w:rsidRPr="00046ADF" w:rsidRDefault="00C76757" w:rsidP="00EF3DEA">
            <w:pPr>
              <w:spacing w:after="0"/>
              <w:jc w:val="right"/>
              <w:rPr>
                <w:b/>
                <w:bCs/>
                <w:lang w:val="pt-PT"/>
              </w:rPr>
            </w:pPr>
            <w:r w:rsidRPr="00046ADF">
              <w:rPr>
                <w:b/>
                <w:bCs/>
                <w:lang w:val="pt-PT"/>
              </w:rPr>
              <w:t>DIRECTRIZES METODOLÓGICAS PARA MEDIR</w:t>
            </w:r>
          </w:p>
          <w:p w14:paraId="63FD4545"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0657455B" w14:textId="77777777" w:rsidR="00C76757" w:rsidRPr="00046ADF" w:rsidRDefault="00C76757" w:rsidP="00EF3DEA">
            <w:pPr>
              <w:spacing w:after="0"/>
              <w:jc w:val="right"/>
              <w:rPr>
                <w:b/>
                <w:bCs/>
                <w:sz w:val="20"/>
                <w:szCs w:val="20"/>
                <w:lang w:val="pt-PT"/>
              </w:rPr>
            </w:pPr>
            <w:r w:rsidRPr="00046ADF">
              <w:rPr>
                <w:b/>
                <w:bCs/>
                <w:lang w:val="pt-PT"/>
              </w:rPr>
              <w:t>Métodos para teste piloto</w:t>
            </w:r>
          </w:p>
        </w:tc>
      </w:tr>
      <w:tr w:rsidR="00C76757" w:rsidRPr="00891C6A" w14:paraId="0AFC2815" w14:textId="77777777" w:rsidTr="00EF3DEA">
        <w:tc>
          <w:tcPr>
            <w:tcW w:w="2405" w:type="dxa"/>
            <w:gridSpan w:val="2"/>
            <w:shd w:val="clear" w:color="auto" w:fill="DEEAF6" w:themeFill="accent5" w:themeFillTint="33"/>
          </w:tcPr>
          <w:p w14:paraId="40BE9B00" w14:textId="77777777" w:rsidR="00C76757" w:rsidRPr="00046ADF" w:rsidRDefault="00C76757" w:rsidP="00EF3DEA">
            <w:pPr>
              <w:rPr>
                <w:b/>
                <w:lang w:val="pt-PT"/>
              </w:rPr>
            </w:pPr>
            <w:r w:rsidRPr="00046ADF">
              <w:rPr>
                <w:b/>
                <w:lang w:val="pt-PT"/>
              </w:rPr>
              <w:t>Título do método</w:t>
            </w:r>
          </w:p>
        </w:tc>
        <w:tc>
          <w:tcPr>
            <w:tcW w:w="6657" w:type="dxa"/>
            <w:gridSpan w:val="4"/>
          </w:tcPr>
          <w:p w14:paraId="6B4D2E75" w14:textId="3767FDDF" w:rsidR="00C76757" w:rsidRPr="00046ADF" w:rsidRDefault="00C76757" w:rsidP="00EF3DEA">
            <w:pPr>
              <w:rPr>
                <w:lang w:val="pt-PT"/>
              </w:rPr>
            </w:pPr>
            <w:r w:rsidRPr="00046ADF">
              <w:rPr>
                <w:lang w:val="pt-PT"/>
              </w:rPr>
              <w:t xml:space="preserve"># 4 </w:t>
            </w:r>
            <w:r w:rsidR="00D06ED0" w:rsidRPr="00046ADF">
              <w:rPr>
                <w:lang w:val="pt-PT"/>
              </w:rPr>
              <w:t>GEM vs. transferência de lucros comparáveis não-GEM</w:t>
            </w:r>
          </w:p>
        </w:tc>
      </w:tr>
      <w:tr w:rsidR="00C76757" w:rsidRPr="00046ADF" w14:paraId="5386A9CA" w14:textId="77777777" w:rsidTr="00EF3DEA">
        <w:tc>
          <w:tcPr>
            <w:tcW w:w="2405" w:type="dxa"/>
            <w:gridSpan w:val="2"/>
            <w:shd w:val="clear" w:color="auto" w:fill="DEEAF6" w:themeFill="accent5" w:themeFillTint="33"/>
          </w:tcPr>
          <w:p w14:paraId="069A5E90" w14:textId="77777777" w:rsidR="00C76757" w:rsidRPr="00046ADF" w:rsidRDefault="00C76757" w:rsidP="00EF3DEA">
            <w:pPr>
              <w:rPr>
                <w:b/>
                <w:lang w:val="pt-PT"/>
              </w:rPr>
            </w:pPr>
            <w:r w:rsidRPr="00046ADF">
              <w:rPr>
                <w:b/>
                <w:lang w:val="pt-PT"/>
              </w:rPr>
              <w:t>Título (s) alternativo (s)</w:t>
            </w:r>
          </w:p>
        </w:tc>
        <w:tc>
          <w:tcPr>
            <w:tcW w:w="6657" w:type="dxa"/>
            <w:gridSpan w:val="4"/>
          </w:tcPr>
          <w:p w14:paraId="6B2A5EE0" w14:textId="77777777" w:rsidR="00C76757" w:rsidRPr="00046ADF" w:rsidRDefault="00C76757" w:rsidP="00EF3DEA">
            <w:pPr>
              <w:rPr>
                <w:lang w:val="pt-PT"/>
              </w:rPr>
            </w:pPr>
          </w:p>
        </w:tc>
      </w:tr>
      <w:tr w:rsidR="00C76757" w:rsidRPr="00891C6A" w14:paraId="05A3363A" w14:textId="77777777" w:rsidTr="00EF3DEA">
        <w:tc>
          <w:tcPr>
            <w:tcW w:w="2405" w:type="dxa"/>
            <w:gridSpan w:val="2"/>
            <w:shd w:val="clear" w:color="auto" w:fill="DEEAF6" w:themeFill="accent5" w:themeFillTint="33"/>
          </w:tcPr>
          <w:p w14:paraId="702C924E" w14:textId="77777777" w:rsidR="00C76757" w:rsidRPr="00046ADF" w:rsidRDefault="00C76757" w:rsidP="00EF3DEA">
            <w:pPr>
              <w:rPr>
                <w:b/>
                <w:lang w:val="pt-PT"/>
              </w:rPr>
            </w:pPr>
            <w:r w:rsidRPr="00046ADF">
              <w:rPr>
                <w:b/>
                <w:lang w:val="pt-PT"/>
              </w:rPr>
              <w:t>Grupo de método</w:t>
            </w:r>
          </w:p>
        </w:tc>
        <w:tc>
          <w:tcPr>
            <w:tcW w:w="6657" w:type="dxa"/>
            <w:gridSpan w:val="4"/>
          </w:tcPr>
          <w:p w14:paraId="78F5B810" w14:textId="77777777" w:rsidR="00C76757" w:rsidRPr="00046ADF" w:rsidRDefault="00C76757" w:rsidP="00EF3DEA">
            <w:pPr>
              <w:rPr>
                <w:lang w:val="pt-PT"/>
              </w:rPr>
            </w:pPr>
            <w:r w:rsidRPr="00046ADF">
              <w:rPr>
                <w:lang w:val="pt-PT"/>
              </w:rPr>
              <w:t>Prevenção de impostos agressivos ou transferência de lucros por GEM</w:t>
            </w:r>
          </w:p>
        </w:tc>
      </w:tr>
      <w:tr w:rsidR="00C76757" w:rsidRPr="00046ADF" w14:paraId="3ED4F7CF" w14:textId="77777777" w:rsidTr="00EF3DEA">
        <w:tc>
          <w:tcPr>
            <w:tcW w:w="2405" w:type="dxa"/>
            <w:gridSpan w:val="2"/>
            <w:shd w:val="clear" w:color="auto" w:fill="DEEAF6" w:themeFill="accent5" w:themeFillTint="33"/>
          </w:tcPr>
          <w:p w14:paraId="6163FEA6" w14:textId="77777777" w:rsidR="00C76757" w:rsidRPr="00046ADF" w:rsidRDefault="00C76757" w:rsidP="00EF3DEA">
            <w:pPr>
              <w:rPr>
                <w:b/>
                <w:lang w:val="pt-PT"/>
              </w:rPr>
            </w:pPr>
            <w:r w:rsidRPr="00046ADF">
              <w:rPr>
                <w:b/>
                <w:lang w:val="pt-PT"/>
              </w:rPr>
              <w:t>Tipo de fluxo de FFI direccionado</w:t>
            </w:r>
          </w:p>
        </w:tc>
        <w:tc>
          <w:tcPr>
            <w:tcW w:w="3827" w:type="dxa"/>
            <w:gridSpan w:val="2"/>
          </w:tcPr>
          <w:p w14:paraId="542D0D41" w14:textId="77777777" w:rsidR="00C76757" w:rsidRPr="00046ADF" w:rsidRDefault="00C76757" w:rsidP="00EF3DEA">
            <w:pPr>
              <w:rPr>
                <w:lang w:val="pt-PT"/>
              </w:rPr>
            </w:pPr>
            <w:r w:rsidRPr="00046ADF">
              <w:rPr>
                <w:lang w:val="pt-PT"/>
              </w:rPr>
              <w:t>Mudança de lucro F3-F5</w:t>
            </w:r>
          </w:p>
        </w:tc>
        <w:tc>
          <w:tcPr>
            <w:tcW w:w="1985" w:type="dxa"/>
            <w:shd w:val="clear" w:color="auto" w:fill="DEEAF6" w:themeFill="accent5" w:themeFillTint="33"/>
          </w:tcPr>
          <w:p w14:paraId="5F62667B"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5D025DCA" w14:textId="77777777" w:rsidR="00C76757" w:rsidRPr="00046ADF" w:rsidRDefault="00C76757" w:rsidP="00EF3DEA">
            <w:pPr>
              <w:spacing w:after="0"/>
              <w:rPr>
                <w:lang w:val="pt-PT"/>
              </w:rPr>
            </w:pPr>
            <w:r w:rsidRPr="00046ADF">
              <w:rPr>
                <w:lang w:val="pt-PT"/>
              </w:rPr>
              <w:t>Camada 1</w:t>
            </w:r>
          </w:p>
        </w:tc>
      </w:tr>
      <w:tr w:rsidR="00C76757" w:rsidRPr="00046ADF" w14:paraId="532DFFE3" w14:textId="77777777" w:rsidTr="00EF3DEA">
        <w:tc>
          <w:tcPr>
            <w:tcW w:w="9062" w:type="dxa"/>
            <w:gridSpan w:val="6"/>
            <w:shd w:val="clear" w:color="auto" w:fill="DEEAF6" w:themeFill="accent5" w:themeFillTint="33"/>
          </w:tcPr>
          <w:p w14:paraId="0B33897C" w14:textId="77777777" w:rsidR="00C76757" w:rsidRPr="00046ADF" w:rsidRDefault="00C76757" w:rsidP="00EF3DEA">
            <w:pPr>
              <w:spacing w:after="0"/>
              <w:rPr>
                <w:lang w:val="pt-PT"/>
              </w:rPr>
            </w:pPr>
            <w:r w:rsidRPr="00046ADF">
              <w:rPr>
                <w:noProof/>
                <w:lang w:val="pt-PT"/>
              </w:rPr>
              <w:drawing>
                <wp:inline distT="0" distB="0" distL="0" distR="0" wp14:anchorId="2DA1DEFB" wp14:editId="35F411A2">
                  <wp:extent cx="288000" cy="288000"/>
                  <wp:effectExtent l="0" t="0" r="0" b="0"/>
                  <wp:docPr id="38" name="Graphic 38"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046ADF" w14:paraId="73E3D0FB" w14:textId="77777777" w:rsidTr="00EF3DEA">
        <w:tc>
          <w:tcPr>
            <w:tcW w:w="9062" w:type="dxa"/>
            <w:gridSpan w:val="6"/>
          </w:tcPr>
          <w:p w14:paraId="26BE76E4" w14:textId="77777777" w:rsidR="00C76757" w:rsidRPr="00046ADF" w:rsidRDefault="00C76757" w:rsidP="00EF3DEA">
            <w:pPr>
              <w:spacing w:after="0"/>
              <w:rPr>
                <w:lang w:val="pt-PT"/>
              </w:rPr>
            </w:pPr>
            <w:r w:rsidRPr="00046ADF">
              <w:rPr>
                <w:lang w:val="pt-PT"/>
              </w:rPr>
              <w:t>O método identifica EMN que evitam impostos que se aplicam tanto entre (GEM a não-EMs comparáveis) e dentro de (EMs que evitam impostos a EMNs que não evitam impostos) e comparações e mede o valor relacionado ao EBTL.</w:t>
            </w:r>
          </w:p>
        </w:tc>
      </w:tr>
      <w:tr w:rsidR="00C76757" w:rsidRPr="00046ADF" w14:paraId="5DC52616" w14:textId="77777777" w:rsidTr="00EF3DEA">
        <w:tc>
          <w:tcPr>
            <w:tcW w:w="9062" w:type="dxa"/>
            <w:gridSpan w:val="6"/>
            <w:shd w:val="clear" w:color="auto" w:fill="DEEAF6" w:themeFill="accent5" w:themeFillTint="33"/>
          </w:tcPr>
          <w:p w14:paraId="05D52A51" w14:textId="77777777" w:rsidR="00C76757" w:rsidRPr="00046ADF" w:rsidRDefault="00C76757" w:rsidP="00EF3DEA">
            <w:pPr>
              <w:spacing w:after="0"/>
              <w:rPr>
                <w:lang w:val="pt-PT"/>
              </w:rPr>
            </w:pPr>
            <w:r w:rsidRPr="00046ADF">
              <w:rPr>
                <w:noProof/>
                <w:lang w:val="pt-PT"/>
              </w:rPr>
              <w:drawing>
                <wp:inline distT="0" distB="0" distL="0" distR="0" wp14:anchorId="6F555482" wp14:editId="3797E534">
                  <wp:extent cx="288000" cy="288000"/>
                  <wp:effectExtent l="0" t="0" r="0" b="0"/>
                  <wp:docPr id="39" name="Graphic 39"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891C6A" w14:paraId="455753E0" w14:textId="77777777" w:rsidTr="00EF3DEA">
        <w:tc>
          <w:tcPr>
            <w:tcW w:w="9062" w:type="dxa"/>
            <w:gridSpan w:val="6"/>
          </w:tcPr>
          <w:p w14:paraId="6F5310D3" w14:textId="77777777" w:rsidR="00C76757" w:rsidRPr="00046ADF" w:rsidRDefault="00C76757" w:rsidP="00EF3DEA">
            <w:pPr>
              <w:spacing w:after="0"/>
              <w:rPr>
                <w:lang w:val="pt-PT"/>
              </w:rPr>
            </w:pPr>
            <w:r w:rsidRPr="00046ADF">
              <w:rPr>
                <w:lang w:val="pt-PT"/>
              </w:rPr>
              <w:t>1. As diferenças identificadas entre GEM e entidades nacionais não são impulsionadas por outros factores (por exemplo, produtividade, economias de escala).</w:t>
            </w:r>
          </w:p>
          <w:p w14:paraId="60B97200" w14:textId="77777777" w:rsidR="00C76757" w:rsidRPr="00046ADF" w:rsidRDefault="00C76757" w:rsidP="00EF3DEA">
            <w:pPr>
              <w:spacing w:after="0"/>
              <w:rPr>
                <w:lang w:val="pt-PT"/>
              </w:rPr>
            </w:pPr>
            <w:r w:rsidRPr="00046ADF">
              <w:rPr>
                <w:lang w:val="pt-PT"/>
              </w:rPr>
              <w:t xml:space="preserve">2. O tamanho da entidade e da indústria em que opera são indicadores absolutos suficientes para garantir a comparação adequada de uma empresa multinacional com o grupo de controlo. </w:t>
            </w:r>
          </w:p>
        </w:tc>
      </w:tr>
      <w:tr w:rsidR="00C76757" w:rsidRPr="00046ADF" w14:paraId="1DE19232" w14:textId="77777777" w:rsidTr="00EF3DEA">
        <w:tc>
          <w:tcPr>
            <w:tcW w:w="4530" w:type="dxa"/>
            <w:gridSpan w:val="3"/>
            <w:shd w:val="clear" w:color="auto" w:fill="DEEAF6" w:themeFill="accent5" w:themeFillTint="33"/>
          </w:tcPr>
          <w:p w14:paraId="4239851A" w14:textId="77777777" w:rsidR="00C76757" w:rsidRPr="00046ADF" w:rsidRDefault="00C76757" w:rsidP="00EF3DEA">
            <w:pPr>
              <w:spacing w:after="0"/>
              <w:rPr>
                <w:lang w:val="pt-PT"/>
              </w:rPr>
            </w:pPr>
            <w:r w:rsidRPr="00046ADF">
              <w:rPr>
                <w:noProof/>
                <w:lang w:val="pt-PT"/>
              </w:rPr>
              <w:drawing>
                <wp:inline distT="0" distB="0" distL="0" distR="0" wp14:anchorId="5940DDF8" wp14:editId="28906A62">
                  <wp:extent cx="288000" cy="288000"/>
                  <wp:effectExtent l="0" t="0" r="0" b="0"/>
                  <wp:docPr id="257"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33B41049" w14:textId="77777777" w:rsidR="00C76757" w:rsidRPr="00046ADF" w:rsidRDefault="00C76757" w:rsidP="00EF3DEA">
            <w:pPr>
              <w:spacing w:after="0"/>
              <w:rPr>
                <w:lang w:val="pt-PT"/>
              </w:rPr>
            </w:pPr>
            <w:r w:rsidRPr="00046ADF">
              <w:rPr>
                <w:noProof/>
                <w:lang w:val="pt-PT"/>
              </w:rPr>
              <w:drawing>
                <wp:inline distT="0" distB="0" distL="0" distR="0" wp14:anchorId="474DEBAC" wp14:editId="1356F68F">
                  <wp:extent cx="288000" cy="288000"/>
                  <wp:effectExtent l="0" t="0" r="0" b="0"/>
                  <wp:docPr id="258"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60679A55" w14:textId="77777777" w:rsidTr="00EF3DEA">
        <w:tc>
          <w:tcPr>
            <w:tcW w:w="4530" w:type="dxa"/>
            <w:gridSpan w:val="3"/>
          </w:tcPr>
          <w:p w14:paraId="71B23B30" w14:textId="77777777" w:rsidR="00C76757" w:rsidRPr="00046ADF" w:rsidRDefault="00C76757" w:rsidP="00EF3DEA">
            <w:pPr>
              <w:spacing w:after="0"/>
              <w:rPr>
                <w:lang w:val="pt-PT"/>
              </w:rPr>
            </w:pPr>
            <w:r w:rsidRPr="00046ADF">
              <w:rPr>
                <w:lang w:val="pt-PT"/>
              </w:rPr>
              <w:t>1. Microdados de nível empresarial.</w:t>
            </w:r>
          </w:p>
          <w:p w14:paraId="5D959506" w14:textId="77777777" w:rsidR="00C76757" w:rsidRPr="00046ADF" w:rsidRDefault="00C76757" w:rsidP="00EF3DEA">
            <w:pPr>
              <w:spacing w:after="0"/>
              <w:rPr>
                <w:lang w:val="pt-PT"/>
              </w:rPr>
            </w:pPr>
            <w:r w:rsidRPr="00046ADF">
              <w:rPr>
                <w:lang w:val="pt-PT"/>
              </w:rPr>
              <w:t>2. Não trata todas as empresas multinacionais da mesma forma, no sentido de que nem todas as empresas multinacionais evitam impostos.</w:t>
            </w:r>
          </w:p>
          <w:p w14:paraId="4E82F94B" w14:textId="77777777" w:rsidR="00C76757" w:rsidRPr="00046ADF" w:rsidRDefault="00C76757" w:rsidP="00EF3DEA">
            <w:pPr>
              <w:spacing w:after="0"/>
              <w:rPr>
                <w:lang w:val="pt-PT"/>
              </w:rPr>
            </w:pPr>
            <w:r w:rsidRPr="00046ADF">
              <w:rPr>
                <w:lang w:val="pt-PT"/>
              </w:rPr>
              <w:t>3. Conceito claro.</w:t>
            </w:r>
          </w:p>
        </w:tc>
        <w:tc>
          <w:tcPr>
            <w:tcW w:w="4532" w:type="dxa"/>
            <w:gridSpan w:val="3"/>
          </w:tcPr>
          <w:p w14:paraId="11A2A497" w14:textId="1A978E96" w:rsidR="00C76757" w:rsidRPr="00046ADF" w:rsidRDefault="00C76757" w:rsidP="00EF3DEA">
            <w:pPr>
              <w:spacing w:after="0"/>
              <w:rPr>
                <w:lang w:val="pt-PT"/>
              </w:rPr>
            </w:pPr>
            <w:r w:rsidRPr="00046ADF">
              <w:rPr>
                <w:lang w:val="pt-PT"/>
              </w:rPr>
              <w:t>1. Não distingue a ev</w:t>
            </w:r>
            <w:r w:rsidR="00D95FDA">
              <w:rPr>
                <w:lang w:val="pt-PT"/>
              </w:rPr>
              <w:t>itaç</w:t>
            </w:r>
            <w:r w:rsidRPr="00046ADF">
              <w:rPr>
                <w:lang w:val="pt-PT"/>
              </w:rPr>
              <w:t>ão fiscal agressiva dos fluxos gerais de transferência de lucros.</w:t>
            </w:r>
          </w:p>
          <w:p w14:paraId="2790EF60" w14:textId="77777777" w:rsidR="00C76757" w:rsidRPr="00046ADF" w:rsidRDefault="00C76757" w:rsidP="00EF3DEA">
            <w:pPr>
              <w:spacing w:after="0"/>
              <w:rPr>
                <w:lang w:val="pt-PT"/>
              </w:rPr>
            </w:pPr>
            <w:r w:rsidRPr="00046ADF">
              <w:rPr>
                <w:lang w:val="pt-PT"/>
              </w:rPr>
              <w:t>2. Problemas para encontrar um grupo de controlo de empresas domésticas em economias pequenas.</w:t>
            </w:r>
          </w:p>
          <w:p w14:paraId="7E3C0A64" w14:textId="77777777" w:rsidR="00C76757" w:rsidRPr="00046ADF" w:rsidRDefault="00C76757" w:rsidP="00EF3DEA">
            <w:pPr>
              <w:spacing w:after="0"/>
              <w:rPr>
                <w:lang w:val="pt-PT"/>
              </w:rPr>
            </w:pPr>
            <w:r w:rsidRPr="00046ADF">
              <w:rPr>
                <w:lang w:val="pt-PT"/>
              </w:rPr>
              <w:t xml:space="preserve">3. Um país é definido como FFI de entrada ou de saída e não pode ter ambos os fluxos identificados (nem medidos). </w:t>
            </w:r>
          </w:p>
        </w:tc>
      </w:tr>
      <w:tr w:rsidR="00C76757" w:rsidRPr="00046ADF" w14:paraId="6BBA72CA" w14:textId="77777777" w:rsidTr="00EF3DEA">
        <w:tc>
          <w:tcPr>
            <w:tcW w:w="4530" w:type="dxa"/>
            <w:gridSpan w:val="3"/>
            <w:shd w:val="clear" w:color="auto" w:fill="DEEAF6" w:themeFill="accent5" w:themeFillTint="33"/>
          </w:tcPr>
          <w:p w14:paraId="0198A066" w14:textId="77777777" w:rsidR="00C76757" w:rsidRPr="00046ADF" w:rsidRDefault="00C76757" w:rsidP="00EF3DEA">
            <w:pPr>
              <w:spacing w:after="0"/>
              <w:rPr>
                <w:lang w:val="pt-PT"/>
              </w:rPr>
            </w:pPr>
            <w:r w:rsidRPr="00046ADF">
              <w:rPr>
                <w:noProof/>
                <w:lang w:val="pt-PT"/>
              </w:rPr>
              <w:drawing>
                <wp:inline distT="0" distB="0" distL="0" distR="0" wp14:anchorId="0A3D93F5" wp14:editId="7761E6D5">
                  <wp:extent cx="288000" cy="288000"/>
                  <wp:effectExtent l="0" t="0" r="0" b="0"/>
                  <wp:docPr id="267"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574E23A6" w14:textId="77777777" w:rsidR="00C76757" w:rsidRPr="00046ADF" w:rsidRDefault="00C76757" w:rsidP="00EF3DEA">
            <w:pPr>
              <w:spacing w:after="0"/>
              <w:rPr>
                <w:lang w:val="pt-PT"/>
              </w:rPr>
            </w:pPr>
            <w:r w:rsidRPr="00046ADF">
              <w:rPr>
                <w:noProof/>
                <w:lang w:val="pt-PT"/>
              </w:rPr>
              <w:drawing>
                <wp:inline distT="0" distB="0" distL="0" distR="0" wp14:anchorId="01E16880" wp14:editId="3F72B85D">
                  <wp:extent cx="288000" cy="288000"/>
                  <wp:effectExtent l="0" t="0" r="0" b="0"/>
                  <wp:docPr id="268"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891C6A" w14:paraId="067B0049" w14:textId="77777777" w:rsidTr="00EF3DEA">
        <w:tc>
          <w:tcPr>
            <w:tcW w:w="4530" w:type="dxa"/>
            <w:gridSpan w:val="3"/>
          </w:tcPr>
          <w:p w14:paraId="6AD2B2BB" w14:textId="77777777" w:rsidR="00C76757" w:rsidRPr="00046ADF" w:rsidRDefault="00C76757" w:rsidP="00EF3DEA">
            <w:pPr>
              <w:spacing w:after="0"/>
              <w:rPr>
                <w:lang w:val="pt-PT"/>
              </w:rPr>
            </w:pPr>
            <w:r w:rsidRPr="00046ADF">
              <w:rPr>
                <w:lang w:val="pt-PT"/>
              </w:rPr>
              <w:t>Microdados de nível empresarial de:</w:t>
            </w:r>
          </w:p>
          <w:p w14:paraId="301F99CF" w14:textId="77777777" w:rsidR="00C76757" w:rsidRPr="00046ADF" w:rsidRDefault="00C76757" w:rsidP="00EF3DEA">
            <w:pPr>
              <w:spacing w:after="0"/>
              <w:rPr>
                <w:lang w:val="pt-PT"/>
              </w:rPr>
            </w:pPr>
            <w:r w:rsidRPr="00046ADF">
              <w:rPr>
                <w:lang w:val="pt-PT"/>
              </w:rPr>
              <w:t>1. Estatísticas de negócios estruturais,</w:t>
            </w:r>
          </w:p>
          <w:p w14:paraId="475C6700" w14:textId="77777777" w:rsidR="00C76757" w:rsidRPr="00046ADF" w:rsidRDefault="00C76757" w:rsidP="00EF3DEA">
            <w:pPr>
              <w:spacing w:after="0"/>
              <w:rPr>
                <w:lang w:val="pt-PT"/>
              </w:rPr>
            </w:pPr>
            <w:r w:rsidRPr="00046ADF">
              <w:rPr>
                <w:lang w:val="pt-PT"/>
              </w:rPr>
              <w:t>2. Estatísticas de comércio internacional,</w:t>
            </w:r>
          </w:p>
          <w:p w14:paraId="3EE84BCF" w14:textId="77777777" w:rsidR="00C76757" w:rsidRPr="00046ADF" w:rsidRDefault="00C76757" w:rsidP="00EF3DEA">
            <w:pPr>
              <w:spacing w:after="0"/>
              <w:rPr>
                <w:lang w:val="pt-PT"/>
              </w:rPr>
            </w:pPr>
            <w:r w:rsidRPr="00046ADF">
              <w:rPr>
                <w:lang w:val="pt-PT"/>
              </w:rPr>
              <w:t>3. Posição das empresas nacionais dentro das EMs (registo de grupos nacional ou regional).</w:t>
            </w:r>
          </w:p>
          <w:p w14:paraId="70B111BF" w14:textId="77777777" w:rsidR="00C76757" w:rsidRPr="00046ADF" w:rsidRDefault="00C76757" w:rsidP="00EF3DEA">
            <w:pPr>
              <w:spacing w:after="0"/>
              <w:rPr>
                <w:lang w:val="pt-PT"/>
              </w:rPr>
            </w:pPr>
            <w:r w:rsidRPr="00046ADF">
              <w:rPr>
                <w:lang w:val="pt-PT"/>
              </w:rPr>
              <w:t>4. FATS.</w:t>
            </w:r>
          </w:p>
          <w:p w14:paraId="5402CC83" w14:textId="77777777" w:rsidR="00C76757" w:rsidRPr="00046ADF" w:rsidRDefault="00C76757" w:rsidP="00EF3DEA">
            <w:pPr>
              <w:spacing w:after="0"/>
              <w:rPr>
                <w:lang w:val="pt-PT"/>
              </w:rPr>
            </w:pPr>
            <w:r w:rsidRPr="00046ADF">
              <w:rPr>
                <w:lang w:val="pt-PT"/>
              </w:rPr>
              <w:t>5. UCAs.</w:t>
            </w:r>
          </w:p>
        </w:tc>
        <w:tc>
          <w:tcPr>
            <w:tcW w:w="4532" w:type="dxa"/>
            <w:gridSpan w:val="3"/>
          </w:tcPr>
          <w:p w14:paraId="0A6CAECF" w14:textId="77777777" w:rsidR="00C76757" w:rsidRPr="00046ADF" w:rsidRDefault="00C76757" w:rsidP="00EF3DEA">
            <w:pPr>
              <w:spacing w:after="0"/>
              <w:rPr>
                <w:lang w:val="pt-PT"/>
              </w:rPr>
            </w:pPr>
            <w:r w:rsidRPr="00046ADF">
              <w:rPr>
                <w:lang w:val="pt-PT"/>
              </w:rPr>
              <w:t>Dados detalhados e adicionais (por exemplo, incluir o tamanho dos activos) e interpretar os resultados no contexto da função das unidades específicas da GEM dentro da GEM, sua actividade (indústria) e ambiente económico geral do país (incluindo taxas de impostos efectivas).</w:t>
            </w:r>
          </w:p>
        </w:tc>
      </w:tr>
      <w:tr w:rsidR="00C76757" w:rsidRPr="00046ADF" w14:paraId="5D45E003" w14:textId="77777777" w:rsidTr="00EF3DEA">
        <w:tc>
          <w:tcPr>
            <w:tcW w:w="9062" w:type="dxa"/>
            <w:gridSpan w:val="6"/>
            <w:shd w:val="clear" w:color="auto" w:fill="DEEAF6" w:themeFill="accent5" w:themeFillTint="33"/>
          </w:tcPr>
          <w:p w14:paraId="37C6B621" w14:textId="77777777" w:rsidR="00C76757" w:rsidRPr="00046ADF" w:rsidRDefault="00C76757" w:rsidP="00EF3DEA">
            <w:pPr>
              <w:spacing w:after="0"/>
              <w:rPr>
                <w:lang w:val="pt-PT"/>
              </w:rPr>
            </w:pPr>
            <w:r w:rsidRPr="00046ADF">
              <w:rPr>
                <w:noProof/>
                <w:lang w:val="pt-PT"/>
              </w:rPr>
              <w:drawing>
                <wp:inline distT="0" distB="0" distL="0" distR="0" wp14:anchorId="2F1794AA" wp14:editId="36AF162D">
                  <wp:extent cx="288000" cy="288000"/>
                  <wp:effectExtent l="0" t="0" r="0" b="0"/>
                  <wp:docPr id="45" name="Graphic 45"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Cá</w:t>
            </w:r>
            <w:r>
              <w:rPr>
                <w:b/>
                <w:bCs/>
                <w:lang w:val="pt-PT"/>
              </w:rPr>
              <w:t>lcu</w:t>
            </w:r>
            <w:r w:rsidRPr="00046ADF">
              <w:rPr>
                <w:b/>
                <w:bCs/>
                <w:lang w:val="pt-PT"/>
              </w:rPr>
              <w:t>lo</w:t>
            </w:r>
          </w:p>
        </w:tc>
      </w:tr>
      <w:tr w:rsidR="00C76757" w:rsidRPr="00046ADF" w14:paraId="4DDDE2FC" w14:textId="77777777" w:rsidTr="00EF3DEA">
        <w:tc>
          <w:tcPr>
            <w:tcW w:w="9062" w:type="dxa"/>
            <w:gridSpan w:val="6"/>
          </w:tcPr>
          <w:p w14:paraId="5CAFACA1" w14:textId="77777777" w:rsidR="00C76757" w:rsidRPr="00046ADF" w:rsidRDefault="00C76757" w:rsidP="00EF3DEA">
            <w:pPr>
              <w:spacing w:after="0"/>
              <w:rPr>
                <w:lang w:val="pt-PT"/>
              </w:rPr>
            </w:pPr>
            <w:r w:rsidRPr="00046ADF">
              <w:rPr>
                <w:lang w:val="pt-PT"/>
              </w:rPr>
              <w:t>1. Fase zero de explorar a natureza interna ou externa dos FFI do país.</w:t>
            </w:r>
          </w:p>
          <w:p w14:paraId="5A7E78A6" w14:textId="77777777" w:rsidR="00C76757" w:rsidRPr="00046ADF" w:rsidRDefault="00C76757" w:rsidP="00EF3DEA">
            <w:pPr>
              <w:spacing w:after="0"/>
              <w:rPr>
                <w:lang w:val="pt-PT"/>
              </w:rPr>
            </w:pPr>
            <w:r w:rsidRPr="00046ADF">
              <w:rPr>
                <w:lang w:val="pt-PT"/>
              </w:rPr>
              <w:t>2. Fase de identificação, entre comparação (aplicar PS).</w:t>
            </w:r>
          </w:p>
          <w:p w14:paraId="40E7622E" w14:textId="77777777" w:rsidR="00C76757" w:rsidRPr="00046ADF" w:rsidRDefault="00C76757" w:rsidP="00EF3DEA">
            <w:pPr>
              <w:spacing w:after="0"/>
              <w:rPr>
                <w:lang w:val="pt-PT"/>
              </w:rPr>
            </w:pPr>
            <w:r w:rsidRPr="00046ADF">
              <w:rPr>
                <w:lang w:val="pt-PT"/>
              </w:rPr>
              <w:lastRenderedPageBreak/>
              <w:t>3. Fase de identificação, dentro da comparação: obter indicador composto por análise factorial.</w:t>
            </w:r>
          </w:p>
          <w:p w14:paraId="07AE4B71" w14:textId="77777777" w:rsidR="00C76757" w:rsidRPr="00046ADF" w:rsidRDefault="00C76757" w:rsidP="00EF3DEA">
            <w:pPr>
              <w:spacing w:after="0"/>
              <w:rPr>
                <w:lang w:val="pt-PT"/>
              </w:rPr>
            </w:pPr>
            <w:r w:rsidRPr="00046ADF">
              <w:rPr>
                <w:lang w:val="pt-PT"/>
              </w:rPr>
              <w:t>4. Fase de identificação, dentro da comparação: modelo Logit usando indicador composto para obter proxy (0,1).</w:t>
            </w:r>
          </w:p>
          <w:p w14:paraId="4490E187" w14:textId="77777777" w:rsidR="00C76757" w:rsidRPr="00046ADF" w:rsidRDefault="00C76757" w:rsidP="00EF3DEA">
            <w:pPr>
              <w:spacing w:after="0"/>
              <w:rPr>
                <w:lang w:val="pt-PT"/>
              </w:rPr>
            </w:pPr>
            <w:r w:rsidRPr="00046ADF">
              <w:rPr>
                <w:lang w:val="pt-PT"/>
              </w:rPr>
              <w:t xml:space="preserve">5. Fase de identificação, dentro da comparação: a observação do limiar é obtida. </w:t>
            </w:r>
          </w:p>
          <w:p w14:paraId="0528C9B8" w14:textId="2A92B3BC" w:rsidR="00C76757" w:rsidRPr="00046ADF" w:rsidRDefault="00C76757" w:rsidP="00EF3DEA">
            <w:pPr>
              <w:spacing w:after="0"/>
              <w:rPr>
                <w:lang w:val="pt-PT"/>
              </w:rPr>
            </w:pPr>
            <w:r w:rsidRPr="00046ADF">
              <w:rPr>
                <w:lang w:val="pt-PT"/>
              </w:rPr>
              <w:t xml:space="preserve">6. Fase de identificação, dentro da comparação: classificar as EMN em </w:t>
            </w:r>
            <w:r w:rsidR="00F12722" w:rsidRPr="00046ADF">
              <w:rPr>
                <w:lang w:val="pt-PT"/>
              </w:rPr>
              <w:t>ev</w:t>
            </w:r>
            <w:r w:rsidR="00F12722">
              <w:rPr>
                <w:lang w:val="pt-PT"/>
              </w:rPr>
              <w:t>itaç</w:t>
            </w:r>
            <w:r w:rsidR="00F12722" w:rsidRPr="00046ADF">
              <w:rPr>
                <w:lang w:val="pt-PT"/>
              </w:rPr>
              <w:t>ão</w:t>
            </w:r>
            <w:r w:rsidRPr="00046ADF">
              <w:rPr>
                <w:lang w:val="pt-PT"/>
              </w:rPr>
              <w:t xml:space="preserve"> e não equitativas.</w:t>
            </w:r>
          </w:p>
          <w:p w14:paraId="08CF4AE0" w14:textId="77777777" w:rsidR="00C76757" w:rsidRPr="00046ADF" w:rsidRDefault="00C76757" w:rsidP="00EF3DEA">
            <w:pPr>
              <w:spacing w:after="0"/>
              <w:rPr>
                <w:lang w:val="pt-PT"/>
              </w:rPr>
            </w:pPr>
            <w:r w:rsidRPr="00046ADF">
              <w:rPr>
                <w:lang w:val="pt-PT"/>
              </w:rPr>
              <w:t>7. Fase de medição: ca</w:t>
            </w:r>
            <w:r>
              <w:rPr>
                <w:lang w:val="pt-PT"/>
              </w:rPr>
              <w:t>lcu</w:t>
            </w:r>
            <w:r w:rsidRPr="00046ADF">
              <w:rPr>
                <w:lang w:val="pt-PT"/>
              </w:rPr>
              <w:t>le o valor ajustado do rácio EBIT / volume de negócios para cada GEM.</w:t>
            </w:r>
          </w:p>
          <w:p w14:paraId="13781B3D" w14:textId="77777777" w:rsidR="00C76757" w:rsidRPr="00046ADF" w:rsidRDefault="00C76757" w:rsidP="00EF3DEA">
            <w:pPr>
              <w:spacing w:after="0"/>
              <w:rPr>
                <w:lang w:val="pt-PT"/>
              </w:rPr>
            </w:pPr>
            <w:r w:rsidRPr="00046ADF">
              <w:rPr>
                <w:lang w:val="pt-PT"/>
              </w:rPr>
              <w:t>8. Ca</w:t>
            </w:r>
            <w:r>
              <w:rPr>
                <w:lang w:val="pt-PT"/>
              </w:rPr>
              <w:t>lcu</w:t>
            </w:r>
            <w:r w:rsidRPr="00046ADF">
              <w:rPr>
                <w:lang w:val="pt-PT"/>
              </w:rPr>
              <w:t>le o FFI para cada GEM.</w:t>
            </w:r>
          </w:p>
          <w:p w14:paraId="01B9BEEB" w14:textId="77777777" w:rsidR="00C76757" w:rsidRPr="00046ADF" w:rsidRDefault="00C76757" w:rsidP="00EF3DEA">
            <w:pPr>
              <w:spacing w:after="0"/>
              <w:rPr>
                <w:lang w:val="pt-PT"/>
              </w:rPr>
            </w:pPr>
            <w:r w:rsidRPr="00046ADF">
              <w:rPr>
                <w:lang w:val="pt-PT"/>
              </w:rPr>
              <w:t>9. Agregue para obter o total de FFI em um país (interno ou externo - ver nota especial).</w:t>
            </w:r>
          </w:p>
        </w:tc>
      </w:tr>
      <w:tr w:rsidR="00C76757" w:rsidRPr="00046ADF" w14:paraId="11EB6D7C" w14:textId="77777777" w:rsidTr="00EF3DEA">
        <w:tc>
          <w:tcPr>
            <w:tcW w:w="9062" w:type="dxa"/>
            <w:gridSpan w:val="6"/>
            <w:shd w:val="clear" w:color="auto" w:fill="DEEAF6" w:themeFill="accent5" w:themeFillTint="33"/>
          </w:tcPr>
          <w:p w14:paraId="5459BE6E" w14:textId="77777777" w:rsidR="00C76757" w:rsidRPr="00046ADF" w:rsidRDefault="00C76757" w:rsidP="00EF3DEA">
            <w:pPr>
              <w:spacing w:after="0"/>
              <w:rPr>
                <w:lang w:val="pt-PT"/>
              </w:rPr>
            </w:pPr>
            <w:r w:rsidRPr="00046ADF">
              <w:rPr>
                <w:noProof/>
                <w:lang w:val="pt-PT"/>
              </w:rPr>
              <w:lastRenderedPageBreak/>
              <w:drawing>
                <wp:inline distT="0" distB="0" distL="0" distR="0" wp14:anchorId="75F27CB5" wp14:editId="72A72D14">
                  <wp:extent cx="288000" cy="288000"/>
                  <wp:effectExtent l="0" t="0" r="0" b="0"/>
                  <wp:docPr id="46" name="Graphic 46"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Resultados</w:t>
            </w:r>
          </w:p>
        </w:tc>
      </w:tr>
      <w:tr w:rsidR="00C76757" w:rsidRPr="00046ADF" w14:paraId="52429807" w14:textId="77777777" w:rsidTr="00EF3DEA">
        <w:tc>
          <w:tcPr>
            <w:tcW w:w="9062" w:type="dxa"/>
            <w:gridSpan w:val="6"/>
          </w:tcPr>
          <w:p w14:paraId="0FD3FAA0" w14:textId="77777777" w:rsidR="00C76757" w:rsidRPr="00046ADF" w:rsidRDefault="00C76757" w:rsidP="00EF3DEA">
            <w:pPr>
              <w:spacing w:after="0"/>
              <w:rPr>
                <w:lang w:val="pt-PT"/>
              </w:rPr>
            </w:pPr>
            <w:r w:rsidRPr="00046ADF">
              <w:rPr>
                <w:lang w:val="pt-PT"/>
              </w:rPr>
              <w:t>Os resultados são apresentados para uma economia total em um nível anual: apen</w:t>
            </w:r>
            <w:r>
              <w:rPr>
                <w:lang w:val="pt-PT"/>
              </w:rPr>
              <w:t>a</w:t>
            </w:r>
            <w:r w:rsidRPr="00046ADF">
              <w:rPr>
                <w:lang w:val="pt-PT"/>
              </w:rPr>
              <w:t>s FFI internos ou externos.</w:t>
            </w:r>
          </w:p>
        </w:tc>
      </w:tr>
      <w:tr w:rsidR="00C76757" w:rsidRPr="00046ADF" w14:paraId="27D04725" w14:textId="77777777" w:rsidTr="00EF3DEA">
        <w:tc>
          <w:tcPr>
            <w:tcW w:w="9062" w:type="dxa"/>
            <w:gridSpan w:val="6"/>
            <w:shd w:val="clear" w:color="auto" w:fill="DEEAF6" w:themeFill="accent5" w:themeFillTint="33"/>
          </w:tcPr>
          <w:p w14:paraId="5FCF1E75" w14:textId="77777777" w:rsidR="00C76757" w:rsidRPr="00046ADF" w:rsidRDefault="00C76757" w:rsidP="00EF3DEA">
            <w:pPr>
              <w:spacing w:after="0"/>
              <w:rPr>
                <w:lang w:val="pt-PT"/>
              </w:rPr>
            </w:pPr>
            <w:r w:rsidRPr="00046ADF">
              <w:rPr>
                <w:noProof/>
                <w:lang w:val="pt-PT"/>
              </w:rPr>
              <w:drawing>
                <wp:inline distT="0" distB="0" distL="0" distR="0" wp14:anchorId="127945E4" wp14:editId="517AE56A">
                  <wp:extent cx="288000" cy="288000"/>
                  <wp:effectExtent l="0" t="0" r="0" b="0"/>
                  <wp:docPr id="47" name="Graphic 47"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Notas especiais)</w:t>
            </w:r>
          </w:p>
        </w:tc>
      </w:tr>
      <w:tr w:rsidR="00C76757" w:rsidRPr="00891C6A" w14:paraId="2B07B3B8" w14:textId="77777777" w:rsidTr="00EF3DEA">
        <w:tc>
          <w:tcPr>
            <w:tcW w:w="9062" w:type="dxa"/>
            <w:gridSpan w:val="6"/>
          </w:tcPr>
          <w:p w14:paraId="7C462BB5" w14:textId="77777777" w:rsidR="00C76757" w:rsidRPr="00046ADF" w:rsidRDefault="00C76757" w:rsidP="00EF3DEA">
            <w:pPr>
              <w:spacing w:after="0"/>
              <w:rPr>
                <w:lang w:val="pt-PT"/>
              </w:rPr>
            </w:pPr>
            <w:r w:rsidRPr="00046ADF">
              <w:rPr>
                <w:lang w:val="pt-PT"/>
              </w:rPr>
              <w:t>É necessária uma análise prévia para iniciar o modelo para FFI internos ou externos. Um país não pode ter ambos os fluxos identificados ou medidos com este método.</w:t>
            </w:r>
          </w:p>
        </w:tc>
      </w:tr>
      <w:tr w:rsidR="00C76757" w:rsidRPr="00046ADF" w14:paraId="7B703081" w14:textId="77777777" w:rsidTr="00EF3DEA">
        <w:tc>
          <w:tcPr>
            <w:tcW w:w="9062" w:type="dxa"/>
            <w:gridSpan w:val="6"/>
            <w:shd w:val="clear" w:color="auto" w:fill="DEEAF6" w:themeFill="accent5" w:themeFillTint="33"/>
          </w:tcPr>
          <w:p w14:paraId="61866226" w14:textId="77777777" w:rsidR="00C76757" w:rsidRPr="00046ADF" w:rsidRDefault="00C76757" w:rsidP="00EF3DEA">
            <w:pPr>
              <w:spacing w:after="0"/>
              <w:rPr>
                <w:lang w:val="pt-PT"/>
              </w:rPr>
            </w:pPr>
            <w:r w:rsidRPr="00046ADF">
              <w:rPr>
                <w:noProof/>
                <w:lang w:val="pt-PT"/>
              </w:rPr>
              <w:drawing>
                <wp:inline distT="0" distB="0" distL="0" distR="0" wp14:anchorId="72BFE613" wp14:editId="46EA6D8C">
                  <wp:extent cx="288000" cy="288000"/>
                  <wp:effectExtent l="0" t="0" r="0" b="0"/>
                  <wp:docPr id="48" name="Graphic 48"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Estudos de caso</w:t>
            </w:r>
          </w:p>
        </w:tc>
      </w:tr>
      <w:tr w:rsidR="00C76757" w:rsidRPr="00891C6A" w14:paraId="7E022D17" w14:textId="77777777" w:rsidTr="00EF3DEA">
        <w:tc>
          <w:tcPr>
            <w:tcW w:w="9062" w:type="dxa"/>
            <w:gridSpan w:val="6"/>
          </w:tcPr>
          <w:p w14:paraId="1A01C9DD" w14:textId="77777777" w:rsidR="00C76757" w:rsidRPr="00046ADF" w:rsidRDefault="00C76757" w:rsidP="00EF3DEA">
            <w:pPr>
              <w:spacing w:after="0"/>
              <w:rPr>
                <w:lang w:val="pt-PT"/>
              </w:rPr>
            </w:pPr>
            <w:r w:rsidRPr="00046ADF">
              <w:rPr>
                <w:lang w:val="pt-PT"/>
              </w:rPr>
              <w:t>1. Indicadores de transferência de lucros por EMNs no Canadá (Fortier-Labonté e Schaffter, 2019).</w:t>
            </w:r>
          </w:p>
          <w:p w14:paraId="51A9E6A5" w14:textId="77777777" w:rsidR="00C76757" w:rsidRPr="00046ADF" w:rsidRDefault="00C76757" w:rsidP="00EF3DEA">
            <w:pPr>
              <w:spacing w:after="0"/>
              <w:rPr>
                <w:lang w:val="pt-PT"/>
              </w:rPr>
            </w:pPr>
            <w:r w:rsidRPr="00046ADF">
              <w:rPr>
                <w:lang w:val="pt-PT"/>
              </w:rPr>
              <w:t>2. Transferência de lucros na Itália (Sallusti, 2021).</w:t>
            </w:r>
          </w:p>
        </w:tc>
      </w:tr>
    </w:tbl>
    <w:p w14:paraId="3488D3CD" w14:textId="77777777" w:rsidR="00C76757" w:rsidRPr="00046ADF" w:rsidRDefault="00C76757" w:rsidP="00C76757">
      <w:pPr>
        <w:rPr>
          <w:lang w:val="pt-PT"/>
        </w:rPr>
      </w:pPr>
    </w:p>
    <w:p w14:paraId="00323079" w14:textId="77777777" w:rsidR="00C76757" w:rsidRPr="00046ADF" w:rsidRDefault="00C76757" w:rsidP="00C76757">
      <w:pPr>
        <w:rPr>
          <w:lang w:val="pt-PT"/>
        </w:rPr>
      </w:pPr>
    </w:p>
    <w:p w14:paraId="207A52FF" w14:textId="77777777" w:rsidR="00C76757" w:rsidRPr="00046ADF" w:rsidRDefault="00C76757" w:rsidP="00C76757">
      <w:pPr>
        <w:rPr>
          <w:lang w:val="pt-PT"/>
        </w:rPr>
      </w:pPr>
      <w:r w:rsidRPr="00046ADF">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C76757" w:rsidRPr="00046ADF" w14:paraId="438735C3" w14:textId="77777777" w:rsidTr="00EF3DEA">
        <w:tc>
          <w:tcPr>
            <w:tcW w:w="2265" w:type="dxa"/>
            <w:tcBorders>
              <w:right w:val="nil"/>
            </w:tcBorders>
            <w:shd w:val="clear" w:color="auto" w:fill="DEEAF6" w:themeFill="accent5" w:themeFillTint="33"/>
          </w:tcPr>
          <w:p w14:paraId="0FCECD98" w14:textId="77777777" w:rsidR="00C76757" w:rsidRPr="00046ADF" w:rsidRDefault="00C76757" w:rsidP="00EF3DEA">
            <w:pPr>
              <w:spacing w:after="0"/>
              <w:rPr>
                <w:lang w:val="pt-PT"/>
              </w:rPr>
            </w:pPr>
            <w:r w:rsidRPr="00046ADF">
              <w:rPr>
                <w:b/>
                <w:bCs/>
                <w:lang w:val="pt-PT"/>
              </w:rPr>
              <w:lastRenderedPageBreak/>
              <w:t>Folha de dados do método</w:t>
            </w:r>
          </w:p>
        </w:tc>
        <w:tc>
          <w:tcPr>
            <w:tcW w:w="6797" w:type="dxa"/>
            <w:gridSpan w:val="5"/>
            <w:tcBorders>
              <w:left w:val="nil"/>
            </w:tcBorders>
            <w:shd w:val="clear" w:color="auto" w:fill="DEEAF6" w:themeFill="accent5" w:themeFillTint="33"/>
          </w:tcPr>
          <w:p w14:paraId="0BB1F0A0" w14:textId="77777777" w:rsidR="00C76757" w:rsidRPr="00046ADF" w:rsidRDefault="00C76757" w:rsidP="00EF3DEA">
            <w:pPr>
              <w:spacing w:after="0"/>
              <w:jc w:val="right"/>
              <w:rPr>
                <w:b/>
                <w:bCs/>
                <w:lang w:val="pt-PT"/>
              </w:rPr>
            </w:pPr>
            <w:r w:rsidRPr="00046ADF">
              <w:rPr>
                <w:b/>
                <w:bCs/>
                <w:lang w:val="pt-PT"/>
              </w:rPr>
              <w:t>DIRECTRIZES METODOLÓGICAS PARA MEDIR</w:t>
            </w:r>
          </w:p>
          <w:p w14:paraId="4468EAA3"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07FE581E" w14:textId="77777777" w:rsidR="00C76757" w:rsidRPr="00046ADF" w:rsidRDefault="00C76757" w:rsidP="00EF3DEA">
            <w:pPr>
              <w:spacing w:after="0"/>
              <w:jc w:val="right"/>
              <w:rPr>
                <w:b/>
                <w:bCs/>
                <w:sz w:val="20"/>
                <w:szCs w:val="20"/>
                <w:lang w:val="pt-PT"/>
              </w:rPr>
            </w:pPr>
            <w:r w:rsidRPr="00046ADF">
              <w:rPr>
                <w:b/>
                <w:bCs/>
                <w:lang w:val="pt-PT"/>
              </w:rPr>
              <w:t>Métodos para teste piloto</w:t>
            </w:r>
          </w:p>
        </w:tc>
      </w:tr>
      <w:tr w:rsidR="00C76757" w:rsidRPr="00046ADF" w14:paraId="235BAE4C" w14:textId="77777777" w:rsidTr="00EF3DEA">
        <w:tc>
          <w:tcPr>
            <w:tcW w:w="2405" w:type="dxa"/>
            <w:gridSpan w:val="2"/>
            <w:shd w:val="clear" w:color="auto" w:fill="DEEAF6" w:themeFill="accent5" w:themeFillTint="33"/>
          </w:tcPr>
          <w:p w14:paraId="352662E4" w14:textId="77777777" w:rsidR="00C76757" w:rsidRPr="00046ADF" w:rsidRDefault="00C76757" w:rsidP="00EF3DEA">
            <w:pPr>
              <w:rPr>
                <w:b/>
                <w:lang w:val="pt-PT"/>
              </w:rPr>
            </w:pPr>
            <w:r w:rsidRPr="00046ADF">
              <w:rPr>
                <w:b/>
                <w:lang w:val="pt-PT"/>
              </w:rPr>
              <w:t>Título do método</w:t>
            </w:r>
          </w:p>
        </w:tc>
        <w:tc>
          <w:tcPr>
            <w:tcW w:w="6657" w:type="dxa"/>
            <w:gridSpan w:val="4"/>
          </w:tcPr>
          <w:p w14:paraId="1CAC91A2" w14:textId="3DDADC98" w:rsidR="00C76757" w:rsidRPr="00046ADF" w:rsidRDefault="00C76757" w:rsidP="00EF3DEA">
            <w:pPr>
              <w:rPr>
                <w:lang w:val="pt-PT"/>
              </w:rPr>
            </w:pPr>
            <w:r w:rsidRPr="00046ADF">
              <w:rPr>
                <w:lang w:val="pt-PT"/>
              </w:rPr>
              <w:t xml:space="preserve"># 5 </w:t>
            </w:r>
            <w:r w:rsidR="00886707" w:rsidRPr="00046ADF">
              <w:rPr>
                <w:lang w:val="pt-PT"/>
              </w:rPr>
              <w:t>Indicador de fluxos de activos offshore não declarados</w:t>
            </w:r>
          </w:p>
        </w:tc>
      </w:tr>
      <w:tr w:rsidR="00C76757" w:rsidRPr="00046ADF" w14:paraId="2EA64319" w14:textId="77777777" w:rsidTr="00EF3DEA">
        <w:tc>
          <w:tcPr>
            <w:tcW w:w="2405" w:type="dxa"/>
            <w:gridSpan w:val="2"/>
            <w:shd w:val="clear" w:color="auto" w:fill="DEEAF6" w:themeFill="accent5" w:themeFillTint="33"/>
          </w:tcPr>
          <w:p w14:paraId="0F3A672A" w14:textId="77777777" w:rsidR="00C76757" w:rsidRPr="00046ADF" w:rsidRDefault="00C76757" w:rsidP="00EF3DEA">
            <w:pPr>
              <w:rPr>
                <w:b/>
                <w:lang w:val="pt-PT"/>
              </w:rPr>
            </w:pPr>
            <w:r w:rsidRPr="00046ADF">
              <w:rPr>
                <w:b/>
                <w:lang w:val="pt-PT"/>
              </w:rPr>
              <w:t>Título (s) alternativo (s)</w:t>
            </w:r>
          </w:p>
        </w:tc>
        <w:tc>
          <w:tcPr>
            <w:tcW w:w="6657" w:type="dxa"/>
            <w:gridSpan w:val="4"/>
          </w:tcPr>
          <w:p w14:paraId="4E9469A8" w14:textId="77777777" w:rsidR="00C76757" w:rsidRPr="00046ADF" w:rsidRDefault="00C76757" w:rsidP="00EF3DEA">
            <w:pPr>
              <w:rPr>
                <w:lang w:val="pt-PT"/>
              </w:rPr>
            </w:pPr>
          </w:p>
        </w:tc>
      </w:tr>
      <w:tr w:rsidR="00C76757" w:rsidRPr="00891C6A" w14:paraId="2CE86DD1" w14:textId="77777777" w:rsidTr="00EF3DEA">
        <w:tc>
          <w:tcPr>
            <w:tcW w:w="2405" w:type="dxa"/>
            <w:gridSpan w:val="2"/>
            <w:shd w:val="clear" w:color="auto" w:fill="DEEAF6" w:themeFill="accent5" w:themeFillTint="33"/>
          </w:tcPr>
          <w:p w14:paraId="3B68F398" w14:textId="77777777" w:rsidR="00C76757" w:rsidRPr="00046ADF" w:rsidRDefault="00C76757" w:rsidP="00EF3DEA">
            <w:pPr>
              <w:rPr>
                <w:b/>
                <w:lang w:val="pt-PT"/>
              </w:rPr>
            </w:pPr>
            <w:r w:rsidRPr="00046ADF">
              <w:rPr>
                <w:b/>
                <w:lang w:val="pt-PT"/>
              </w:rPr>
              <w:t>Grupo de método</w:t>
            </w:r>
          </w:p>
        </w:tc>
        <w:tc>
          <w:tcPr>
            <w:tcW w:w="6657" w:type="dxa"/>
            <w:gridSpan w:val="4"/>
          </w:tcPr>
          <w:p w14:paraId="4455DC12" w14:textId="77777777" w:rsidR="00C76757" w:rsidRPr="00046ADF" w:rsidRDefault="00C76757" w:rsidP="00EF3DEA">
            <w:pPr>
              <w:rPr>
                <w:lang w:val="pt-PT"/>
              </w:rPr>
            </w:pPr>
            <w:r w:rsidRPr="00046ADF">
              <w:rPr>
                <w:lang w:val="pt-PT"/>
              </w:rPr>
              <w:t>Transferência de riqueza para sonegar impostos por indivíduos</w:t>
            </w:r>
          </w:p>
        </w:tc>
      </w:tr>
      <w:tr w:rsidR="00C76757" w:rsidRPr="00046ADF" w14:paraId="3B95C8FF" w14:textId="77777777" w:rsidTr="00EF3DEA">
        <w:tc>
          <w:tcPr>
            <w:tcW w:w="2405" w:type="dxa"/>
            <w:gridSpan w:val="2"/>
            <w:shd w:val="clear" w:color="auto" w:fill="DEEAF6" w:themeFill="accent5" w:themeFillTint="33"/>
          </w:tcPr>
          <w:p w14:paraId="6BC9A525" w14:textId="77777777" w:rsidR="00C76757" w:rsidRPr="00046ADF" w:rsidRDefault="00C76757" w:rsidP="00EF3DEA">
            <w:pPr>
              <w:rPr>
                <w:b/>
                <w:lang w:val="pt-PT"/>
              </w:rPr>
            </w:pPr>
            <w:r w:rsidRPr="00046ADF">
              <w:rPr>
                <w:b/>
                <w:lang w:val="pt-PT"/>
              </w:rPr>
              <w:t>Tipo de fluxo de FFI direccionado</w:t>
            </w:r>
          </w:p>
        </w:tc>
        <w:tc>
          <w:tcPr>
            <w:tcW w:w="3827" w:type="dxa"/>
            <w:gridSpan w:val="2"/>
          </w:tcPr>
          <w:p w14:paraId="31D15B74" w14:textId="77777777" w:rsidR="00C76757" w:rsidRPr="00046ADF" w:rsidRDefault="00C76757" w:rsidP="00EF3DEA">
            <w:pPr>
              <w:rPr>
                <w:lang w:val="pt-PT"/>
              </w:rPr>
            </w:pPr>
            <w:r w:rsidRPr="00046ADF">
              <w:rPr>
                <w:lang w:val="pt-PT"/>
              </w:rPr>
              <w:t>F1 Transferência de riqueza para sonegar impostos</w:t>
            </w:r>
          </w:p>
        </w:tc>
        <w:tc>
          <w:tcPr>
            <w:tcW w:w="1985" w:type="dxa"/>
            <w:shd w:val="clear" w:color="auto" w:fill="DEEAF6" w:themeFill="accent5" w:themeFillTint="33"/>
          </w:tcPr>
          <w:p w14:paraId="47AE30E8"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0096FDDD" w14:textId="77777777" w:rsidR="00C76757" w:rsidRPr="00046ADF" w:rsidRDefault="00C76757" w:rsidP="00EF3DEA">
            <w:pPr>
              <w:spacing w:after="0"/>
              <w:rPr>
                <w:lang w:val="pt-PT"/>
              </w:rPr>
            </w:pPr>
            <w:r w:rsidRPr="00046ADF">
              <w:rPr>
                <w:lang w:val="pt-PT"/>
              </w:rPr>
              <w:t>Nível 3</w:t>
            </w:r>
          </w:p>
        </w:tc>
      </w:tr>
      <w:tr w:rsidR="00C76757" w:rsidRPr="00046ADF" w14:paraId="2805C9AC" w14:textId="77777777" w:rsidTr="00EF3DEA">
        <w:tc>
          <w:tcPr>
            <w:tcW w:w="9062" w:type="dxa"/>
            <w:gridSpan w:val="6"/>
            <w:shd w:val="clear" w:color="auto" w:fill="DEEAF6" w:themeFill="accent5" w:themeFillTint="33"/>
          </w:tcPr>
          <w:p w14:paraId="7C4CC3F0" w14:textId="77777777" w:rsidR="00C76757" w:rsidRPr="00046ADF" w:rsidRDefault="00C76757" w:rsidP="00EF3DEA">
            <w:pPr>
              <w:spacing w:after="0"/>
              <w:rPr>
                <w:lang w:val="pt-PT"/>
              </w:rPr>
            </w:pPr>
            <w:r w:rsidRPr="00046ADF">
              <w:rPr>
                <w:noProof/>
                <w:lang w:val="pt-PT"/>
              </w:rPr>
              <w:drawing>
                <wp:inline distT="0" distB="0" distL="0" distR="0" wp14:anchorId="2A797D6F" wp14:editId="11CDE28B">
                  <wp:extent cx="288000" cy="288000"/>
                  <wp:effectExtent l="0" t="0" r="0" b="0"/>
                  <wp:docPr id="49" name="Graphic 49"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9"/>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046ADF" w14:paraId="590B5E47" w14:textId="77777777" w:rsidTr="00EF3DEA">
        <w:tc>
          <w:tcPr>
            <w:tcW w:w="9062" w:type="dxa"/>
            <w:gridSpan w:val="6"/>
          </w:tcPr>
          <w:p w14:paraId="01168C27" w14:textId="77777777" w:rsidR="00C76757" w:rsidRPr="00046ADF" w:rsidRDefault="00C76757" w:rsidP="00EF3DEA">
            <w:pPr>
              <w:spacing w:after="0"/>
              <w:rPr>
                <w:lang w:val="pt-PT"/>
              </w:rPr>
            </w:pPr>
            <w:r w:rsidRPr="00046ADF">
              <w:rPr>
                <w:lang w:val="pt-PT"/>
              </w:rPr>
              <w:t>O método mede o excesso do valor dos bens dos cidadãos declarados pelos países, sobre o valor declarado pelos próprios cidadãos para fins fiscais.</w:t>
            </w:r>
          </w:p>
        </w:tc>
      </w:tr>
      <w:tr w:rsidR="00C76757" w:rsidRPr="00046ADF" w14:paraId="6007158E" w14:textId="77777777" w:rsidTr="00EF3DEA">
        <w:tc>
          <w:tcPr>
            <w:tcW w:w="9062" w:type="dxa"/>
            <w:gridSpan w:val="6"/>
            <w:shd w:val="clear" w:color="auto" w:fill="DEEAF6" w:themeFill="accent5" w:themeFillTint="33"/>
          </w:tcPr>
          <w:p w14:paraId="242CA6C8" w14:textId="77777777" w:rsidR="00C76757" w:rsidRPr="00046ADF" w:rsidRDefault="00C76757" w:rsidP="00EF3DEA">
            <w:pPr>
              <w:spacing w:after="0"/>
              <w:rPr>
                <w:lang w:val="pt-PT"/>
              </w:rPr>
            </w:pPr>
            <w:r w:rsidRPr="00046ADF">
              <w:rPr>
                <w:noProof/>
                <w:lang w:val="pt-PT"/>
              </w:rPr>
              <w:drawing>
                <wp:inline distT="0" distB="0" distL="0" distR="0" wp14:anchorId="2278B275" wp14:editId="0B6302AE">
                  <wp:extent cx="288000" cy="288000"/>
                  <wp:effectExtent l="0" t="0" r="0" b="0"/>
                  <wp:docPr id="50" name="Graphic 50"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891C6A" w14:paraId="22DB587B" w14:textId="77777777" w:rsidTr="00EF3DEA">
        <w:tc>
          <w:tcPr>
            <w:tcW w:w="9062" w:type="dxa"/>
            <w:gridSpan w:val="6"/>
          </w:tcPr>
          <w:p w14:paraId="0AD2CCB2" w14:textId="77777777" w:rsidR="00C76757" w:rsidRPr="00046ADF" w:rsidRDefault="00C76757" w:rsidP="00EF3DEA">
            <w:pPr>
              <w:spacing w:after="0"/>
              <w:rPr>
                <w:lang w:val="pt-PT"/>
              </w:rPr>
            </w:pPr>
            <w:r w:rsidRPr="00046ADF">
              <w:rPr>
                <w:lang w:val="pt-PT"/>
              </w:rPr>
              <w:t>1. A discrepância medida pode ser atribuída apenas aos FFI.</w:t>
            </w:r>
          </w:p>
          <w:p w14:paraId="54036F8D" w14:textId="77777777" w:rsidR="00C76757" w:rsidRPr="00046ADF" w:rsidRDefault="00C76757" w:rsidP="00EF3DEA">
            <w:pPr>
              <w:spacing w:after="0"/>
              <w:rPr>
                <w:lang w:val="pt-PT"/>
              </w:rPr>
            </w:pPr>
            <w:r w:rsidRPr="00046ADF">
              <w:rPr>
                <w:lang w:val="pt-PT"/>
              </w:rPr>
              <w:t xml:space="preserve">2. A diferença entre duas medidas de estoque subsequentes é considerada o fluxo correspondente. </w:t>
            </w:r>
          </w:p>
        </w:tc>
      </w:tr>
      <w:tr w:rsidR="00C76757" w:rsidRPr="00046ADF" w14:paraId="3B11CE19" w14:textId="77777777" w:rsidTr="00EF3DEA">
        <w:tc>
          <w:tcPr>
            <w:tcW w:w="4530" w:type="dxa"/>
            <w:gridSpan w:val="3"/>
            <w:shd w:val="clear" w:color="auto" w:fill="DEEAF6" w:themeFill="accent5" w:themeFillTint="33"/>
          </w:tcPr>
          <w:p w14:paraId="53DE1B82" w14:textId="77777777" w:rsidR="00C76757" w:rsidRPr="00046ADF" w:rsidRDefault="00C76757" w:rsidP="00EF3DEA">
            <w:pPr>
              <w:spacing w:after="0"/>
              <w:rPr>
                <w:lang w:val="pt-PT"/>
              </w:rPr>
            </w:pPr>
            <w:r w:rsidRPr="00046ADF">
              <w:rPr>
                <w:noProof/>
                <w:lang w:val="pt-PT"/>
              </w:rPr>
              <w:drawing>
                <wp:inline distT="0" distB="0" distL="0" distR="0" wp14:anchorId="706A8E52" wp14:editId="42E2DA12">
                  <wp:extent cx="288000" cy="288000"/>
                  <wp:effectExtent l="0" t="0" r="0" b="0"/>
                  <wp:docPr id="259"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0AD2263E" w14:textId="77777777" w:rsidR="00C76757" w:rsidRPr="00046ADF" w:rsidRDefault="00C76757" w:rsidP="00EF3DEA">
            <w:pPr>
              <w:spacing w:after="0"/>
              <w:rPr>
                <w:lang w:val="pt-PT"/>
              </w:rPr>
            </w:pPr>
            <w:r w:rsidRPr="00046ADF">
              <w:rPr>
                <w:noProof/>
                <w:lang w:val="pt-PT"/>
              </w:rPr>
              <w:drawing>
                <wp:inline distT="0" distB="0" distL="0" distR="0" wp14:anchorId="13D4CF2A" wp14:editId="661C43F0">
                  <wp:extent cx="288000" cy="288000"/>
                  <wp:effectExtent l="0" t="0" r="0" b="0"/>
                  <wp:docPr id="260"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46F94DFD" w14:textId="77777777" w:rsidTr="00EF3DEA">
        <w:tc>
          <w:tcPr>
            <w:tcW w:w="4530" w:type="dxa"/>
            <w:gridSpan w:val="3"/>
          </w:tcPr>
          <w:p w14:paraId="351C6A0D" w14:textId="77777777" w:rsidR="00C76757" w:rsidRPr="00046ADF" w:rsidRDefault="00C76757" w:rsidP="00EF3DEA">
            <w:pPr>
              <w:spacing w:after="0"/>
              <w:rPr>
                <w:lang w:val="pt-PT"/>
              </w:rPr>
            </w:pPr>
            <w:r w:rsidRPr="00046ADF">
              <w:rPr>
                <w:lang w:val="pt-PT"/>
              </w:rPr>
              <w:t>1. Relativamente simples de ca</w:t>
            </w:r>
            <w:r>
              <w:rPr>
                <w:lang w:val="pt-PT"/>
              </w:rPr>
              <w:t>lcu</w:t>
            </w:r>
            <w:r w:rsidRPr="00046ADF">
              <w:rPr>
                <w:lang w:val="pt-PT"/>
              </w:rPr>
              <w:t>lar a riqueza offshore.</w:t>
            </w:r>
          </w:p>
        </w:tc>
        <w:tc>
          <w:tcPr>
            <w:tcW w:w="4532" w:type="dxa"/>
            <w:gridSpan w:val="3"/>
          </w:tcPr>
          <w:p w14:paraId="1E1D4DD1" w14:textId="77777777" w:rsidR="00C76757" w:rsidRPr="00046ADF" w:rsidRDefault="00C76757" w:rsidP="00EF3DEA">
            <w:pPr>
              <w:spacing w:after="0"/>
              <w:rPr>
                <w:lang w:val="pt-PT"/>
              </w:rPr>
            </w:pPr>
            <w:r w:rsidRPr="00046ADF">
              <w:rPr>
                <w:lang w:val="pt-PT"/>
              </w:rPr>
              <w:t>1. Abordagem macro.</w:t>
            </w:r>
          </w:p>
          <w:p w14:paraId="653EFD47" w14:textId="77777777" w:rsidR="00C76757" w:rsidRPr="00046ADF" w:rsidRDefault="00C76757" w:rsidP="00EF3DEA">
            <w:pPr>
              <w:spacing w:after="0"/>
              <w:rPr>
                <w:lang w:val="pt-PT"/>
              </w:rPr>
            </w:pPr>
            <w:r w:rsidRPr="00046ADF">
              <w:rPr>
                <w:lang w:val="pt-PT"/>
              </w:rPr>
              <w:t>2. Sobreposição com outras categorias de FFI.</w:t>
            </w:r>
          </w:p>
          <w:p w14:paraId="3C876908" w14:textId="77777777" w:rsidR="00C76757" w:rsidRPr="00046ADF" w:rsidRDefault="00C76757" w:rsidP="00EF3DEA">
            <w:pPr>
              <w:spacing w:after="0"/>
              <w:rPr>
                <w:lang w:val="pt-PT"/>
              </w:rPr>
            </w:pPr>
            <w:r w:rsidRPr="00046ADF">
              <w:rPr>
                <w:lang w:val="pt-PT"/>
              </w:rPr>
              <w:t>3. Requer transformação de estoque em medida de fluxo.</w:t>
            </w:r>
          </w:p>
          <w:p w14:paraId="31D52263" w14:textId="77777777" w:rsidR="00C76757" w:rsidRPr="00046ADF" w:rsidRDefault="00C76757" w:rsidP="00EF3DEA">
            <w:pPr>
              <w:spacing w:after="0"/>
              <w:rPr>
                <w:lang w:val="pt-PT"/>
              </w:rPr>
            </w:pPr>
            <w:r w:rsidRPr="00046ADF">
              <w:rPr>
                <w:lang w:val="pt-PT"/>
              </w:rPr>
              <w:t>4. O consumo de riqueza não é considerado.</w:t>
            </w:r>
          </w:p>
          <w:p w14:paraId="5894F892" w14:textId="77777777" w:rsidR="00C76757" w:rsidRPr="00046ADF" w:rsidRDefault="00C76757" w:rsidP="00EF3DEA">
            <w:pPr>
              <w:spacing w:after="0"/>
              <w:rPr>
                <w:lang w:val="pt-PT"/>
              </w:rPr>
            </w:pPr>
            <w:r w:rsidRPr="00046ADF">
              <w:rPr>
                <w:lang w:val="pt-PT"/>
              </w:rPr>
              <w:t>5. Certas classes de activos (por exemplo, arte, imóveis ou criptomoedas) não são consideradas.</w:t>
            </w:r>
          </w:p>
          <w:p w14:paraId="6610D340" w14:textId="77777777" w:rsidR="00C76757" w:rsidRPr="00046ADF" w:rsidRDefault="00C76757" w:rsidP="00EF3DEA">
            <w:pPr>
              <w:spacing w:after="0"/>
              <w:rPr>
                <w:lang w:val="pt-PT"/>
              </w:rPr>
            </w:pPr>
            <w:r w:rsidRPr="00046ADF">
              <w:rPr>
                <w:lang w:val="pt-PT"/>
              </w:rPr>
              <w:t>6. (des) disponibilidade de dados.</w:t>
            </w:r>
          </w:p>
          <w:p w14:paraId="2E8532C4" w14:textId="77777777" w:rsidR="00C76757" w:rsidRPr="00046ADF" w:rsidRDefault="00C76757" w:rsidP="00EF3DEA">
            <w:pPr>
              <w:spacing w:after="0"/>
              <w:rPr>
                <w:lang w:val="pt-PT"/>
              </w:rPr>
            </w:pPr>
            <w:r w:rsidRPr="00046ADF">
              <w:rPr>
                <w:lang w:val="pt-PT"/>
              </w:rPr>
              <w:t>7. Produz apen</w:t>
            </w:r>
            <w:r>
              <w:rPr>
                <w:lang w:val="pt-PT"/>
              </w:rPr>
              <w:t>a</w:t>
            </w:r>
            <w:r w:rsidRPr="00046ADF">
              <w:rPr>
                <w:lang w:val="pt-PT"/>
              </w:rPr>
              <w:t>s FFI externos sob certas circunstâncias.</w:t>
            </w:r>
          </w:p>
        </w:tc>
      </w:tr>
      <w:tr w:rsidR="00C76757" w:rsidRPr="00046ADF" w14:paraId="15B9B9D7" w14:textId="77777777" w:rsidTr="00EF3DEA">
        <w:tc>
          <w:tcPr>
            <w:tcW w:w="4530" w:type="dxa"/>
            <w:gridSpan w:val="3"/>
            <w:shd w:val="clear" w:color="auto" w:fill="DEEAF6" w:themeFill="accent5" w:themeFillTint="33"/>
          </w:tcPr>
          <w:p w14:paraId="6531B302" w14:textId="77777777" w:rsidR="00C76757" w:rsidRPr="00046ADF" w:rsidRDefault="00C76757" w:rsidP="00EF3DEA">
            <w:pPr>
              <w:spacing w:after="0"/>
              <w:rPr>
                <w:lang w:val="pt-PT"/>
              </w:rPr>
            </w:pPr>
            <w:r w:rsidRPr="00046ADF">
              <w:rPr>
                <w:noProof/>
                <w:lang w:val="pt-PT"/>
              </w:rPr>
              <w:drawing>
                <wp:inline distT="0" distB="0" distL="0" distR="0" wp14:anchorId="65674B8A" wp14:editId="46C9E8EA">
                  <wp:extent cx="288000" cy="288000"/>
                  <wp:effectExtent l="0" t="0" r="0" b="0"/>
                  <wp:docPr id="270"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3EAD343C" w14:textId="77777777" w:rsidR="00C76757" w:rsidRPr="00046ADF" w:rsidRDefault="00C76757" w:rsidP="00EF3DEA">
            <w:pPr>
              <w:spacing w:after="0"/>
              <w:rPr>
                <w:lang w:val="pt-PT"/>
              </w:rPr>
            </w:pPr>
            <w:r w:rsidRPr="00046ADF">
              <w:rPr>
                <w:noProof/>
                <w:lang w:val="pt-PT"/>
              </w:rPr>
              <w:drawing>
                <wp:inline distT="0" distB="0" distL="0" distR="0" wp14:anchorId="4AF9358B" wp14:editId="5587FBD9">
                  <wp:extent cx="288000" cy="288000"/>
                  <wp:effectExtent l="0" t="0" r="0" b="0"/>
                  <wp:docPr id="271"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891C6A" w14:paraId="024E1928" w14:textId="77777777" w:rsidTr="00EF3DEA">
        <w:tc>
          <w:tcPr>
            <w:tcW w:w="4530" w:type="dxa"/>
            <w:gridSpan w:val="3"/>
          </w:tcPr>
          <w:p w14:paraId="111B30FE" w14:textId="77777777" w:rsidR="00C76757" w:rsidRPr="00046ADF" w:rsidRDefault="00C76757" w:rsidP="00EF3DEA">
            <w:pPr>
              <w:spacing w:after="0"/>
              <w:rPr>
                <w:lang w:val="pt-PT"/>
              </w:rPr>
            </w:pPr>
            <w:r w:rsidRPr="00046ADF">
              <w:rPr>
                <w:lang w:val="pt-PT"/>
              </w:rPr>
              <w:t>1. Banco de Pagamentos Internacionais (BIS), por localidade.</w:t>
            </w:r>
          </w:p>
          <w:p w14:paraId="5B33497A" w14:textId="77777777" w:rsidR="00C76757" w:rsidRPr="00046ADF" w:rsidRDefault="00C76757" w:rsidP="00EF3DEA">
            <w:pPr>
              <w:spacing w:after="0"/>
              <w:rPr>
                <w:lang w:val="pt-PT"/>
              </w:rPr>
            </w:pPr>
            <w:r w:rsidRPr="00046ADF">
              <w:rPr>
                <w:lang w:val="pt-PT"/>
              </w:rPr>
              <w:t>2. Padrão de relatório comum da OCDE.</w:t>
            </w:r>
          </w:p>
          <w:p w14:paraId="5996B8EB" w14:textId="77777777" w:rsidR="00C76757" w:rsidRPr="00046ADF" w:rsidRDefault="00C76757" w:rsidP="00EF3DEA">
            <w:pPr>
              <w:spacing w:after="0"/>
              <w:rPr>
                <w:lang w:val="pt-PT"/>
              </w:rPr>
            </w:pPr>
            <w:r w:rsidRPr="00046ADF">
              <w:rPr>
                <w:lang w:val="pt-PT"/>
              </w:rPr>
              <w:t xml:space="preserve">3. Autoridades fiscais nacionais. </w:t>
            </w:r>
          </w:p>
        </w:tc>
        <w:tc>
          <w:tcPr>
            <w:tcW w:w="4532" w:type="dxa"/>
            <w:gridSpan w:val="3"/>
          </w:tcPr>
          <w:p w14:paraId="0640E2EC" w14:textId="77777777" w:rsidR="00C76757" w:rsidRPr="00046ADF" w:rsidRDefault="00C76757" w:rsidP="00EF3DEA">
            <w:pPr>
              <w:spacing w:after="0"/>
              <w:rPr>
                <w:lang w:val="pt-PT"/>
              </w:rPr>
            </w:pPr>
            <w:r w:rsidRPr="00046ADF">
              <w:rPr>
                <w:lang w:val="pt-PT"/>
              </w:rPr>
              <w:t>Dados detalhados e adicionais por países, incluindo troca de dados em ambiente estatístico seguro.</w:t>
            </w:r>
          </w:p>
        </w:tc>
      </w:tr>
      <w:tr w:rsidR="00C76757" w:rsidRPr="00046ADF" w14:paraId="561BA8A0" w14:textId="77777777" w:rsidTr="00EF3DEA">
        <w:tc>
          <w:tcPr>
            <w:tcW w:w="9062" w:type="dxa"/>
            <w:gridSpan w:val="6"/>
            <w:shd w:val="clear" w:color="auto" w:fill="DEEAF6" w:themeFill="accent5" w:themeFillTint="33"/>
          </w:tcPr>
          <w:p w14:paraId="0927C776" w14:textId="77777777" w:rsidR="00C76757" w:rsidRPr="00046ADF" w:rsidRDefault="00C76757" w:rsidP="00EF3DEA">
            <w:pPr>
              <w:spacing w:after="0"/>
              <w:rPr>
                <w:lang w:val="pt-PT"/>
              </w:rPr>
            </w:pPr>
            <w:r w:rsidRPr="00046ADF">
              <w:rPr>
                <w:noProof/>
                <w:lang w:val="pt-PT"/>
              </w:rPr>
              <w:drawing>
                <wp:inline distT="0" distB="0" distL="0" distR="0" wp14:anchorId="5CD59251" wp14:editId="085B0924">
                  <wp:extent cx="288000" cy="288000"/>
                  <wp:effectExtent l="0" t="0" r="0" b="0"/>
                  <wp:docPr id="57" name="Graphic 5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Cá</w:t>
            </w:r>
            <w:r>
              <w:rPr>
                <w:b/>
                <w:bCs/>
                <w:lang w:val="pt-PT"/>
              </w:rPr>
              <w:t>lcu</w:t>
            </w:r>
            <w:r w:rsidRPr="00046ADF">
              <w:rPr>
                <w:b/>
                <w:bCs/>
                <w:lang w:val="pt-PT"/>
              </w:rPr>
              <w:t>lo</w:t>
            </w:r>
          </w:p>
        </w:tc>
      </w:tr>
      <w:tr w:rsidR="00C76757" w:rsidRPr="00891C6A" w14:paraId="7FD957AD" w14:textId="77777777" w:rsidTr="00EF3DEA">
        <w:tc>
          <w:tcPr>
            <w:tcW w:w="9062" w:type="dxa"/>
            <w:gridSpan w:val="6"/>
          </w:tcPr>
          <w:p w14:paraId="7E20D9C7" w14:textId="77777777" w:rsidR="00C76757" w:rsidRPr="00046ADF" w:rsidRDefault="00C76757" w:rsidP="00EF3DEA">
            <w:pPr>
              <w:spacing w:after="0"/>
              <w:rPr>
                <w:lang w:val="pt-PT"/>
              </w:rPr>
            </w:pPr>
            <w:r w:rsidRPr="00046ADF">
              <w:rPr>
                <w:lang w:val="pt-PT"/>
              </w:rPr>
              <w:t>1. Ca</w:t>
            </w:r>
            <w:r>
              <w:rPr>
                <w:lang w:val="pt-PT"/>
              </w:rPr>
              <w:t>lcu</w:t>
            </w:r>
            <w:r w:rsidRPr="00046ADF">
              <w:rPr>
                <w:lang w:val="pt-PT"/>
              </w:rPr>
              <w:t>le os a</w:t>
            </w:r>
            <w:r>
              <w:rPr>
                <w:lang w:val="pt-PT"/>
              </w:rPr>
              <w:t>c</w:t>
            </w:r>
            <w:r w:rsidRPr="00046ADF">
              <w:rPr>
                <w:lang w:val="pt-PT"/>
              </w:rPr>
              <w:t>tivos não declarados dos cidadãos.</w:t>
            </w:r>
          </w:p>
          <w:p w14:paraId="4D4FAC24" w14:textId="77777777" w:rsidR="00C76757" w:rsidRPr="00046ADF" w:rsidRDefault="00C76757" w:rsidP="00EF3DEA">
            <w:pPr>
              <w:spacing w:after="0"/>
              <w:rPr>
                <w:lang w:val="pt-PT"/>
              </w:rPr>
            </w:pPr>
            <w:r w:rsidRPr="00046ADF">
              <w:rPr>
                <w:lang w:val="pt-PT"/>
              </w:rPr>
              <w:t>2. Transforme-se em fluxos.</w:t>
            </w:r>
          </w:p>
          <w:p w14:paraId="048BBCDF" w14:textId="77777777" w:rsidR="00C76757" w:rsidRPr="00046ADF" w:rsidRDefault="00C76757" w:rsidP="00EF3DEA">
            <w:pPr>
              <w:spacing w:after="0"/>
              <w:rPr>
                <w:lang w:val="pt-PT"/>
              </w:rPr>
            </w:pPr>
            <w:r w:rsidRPr="00046ADF">
              <w:rPr>
                <w:lang w:val="pt-PT"/>
              </w:rPr>
              <w:t xml:space="preserve">3. Determine fluxos de saída de FFI.  </w:t>
            </w:r>
          </w:p>
        </w:tc>
      </w:tr>
      <w:tr w:rsidR="00C76757" w:rsidRPr="00046ADF" w14:paraId="00609F8B" w14:textId="77777777" w:rsidTr="00EF3DEA">
        <w:tc>
          <w:tcPr>
            <w:tcW w:w="9062" w:type="dxa"/>
            <w:gridSpan w:val="6"/>
            <w:shd w:val="clear" w:color="auto" w:fill="DEEAF6" w:themeFill="accent5" w:themeFillTint="33"/>
          </w:tcPr>
          <w:p w14:paraId="50058F8B" w14:textId="77777777" w:rsidR="00C76757" w:rsidRPr="00046ADF" w:rsidRDefault="00C76757" w:rsidP="00EF3DEA">
            <w:pPr>
              <w:spacing w:after="0"/>
              <w:rPr>
                <w:lang w:val="pt-PT"/>
              </w:rPr>
            </w:pPr>
            <w:r w:rsidRPr="00046ADF">
              <w:rPr>
                <w:noProof/>
                <w:lang w:val="pt-PT"/>
              </w:rPr>
              <w:lastRenderedPageBreak/>
              <w:drawing>
                <wp:inline distT="0" distB="0" distL="0" distR="0" wp14:anchorId="277A6A25" wp14:editId="1E46CC89">
                  <wp:extent cx="288000" cy="288000"/>
                  <wp:effectExtent l="0" t="0" r="0" b="0"/>
                  <wp:docPr id="58" name="Graphic 58"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8"/>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Resultados</w:t>
            </w:r>
          </w:p>
        </w:tc>
      </w:tr>
      <w:tr w:rsidR="00C76757" w:rsidRPr="00046ADF" w14:paraId="2F5FCA06" w14:textId="77777777" w:rsidTr="00EF3DEA">
        <w:tc>
          <w:tcPr>
            <w:tcW w:w="9062" w:type="dxa"/>
            <w:gridSpan w:val="6"/>
          </w:tcPr>
          <w:p w14:paraId="15D53505" w14:textId="77777777" w:rsidR="00C76757" w:rsidRPr="00046ADF" w:rsidRDefault="00C76757" w:rsidP="00EF3DEA">
            <w:pPr>
              <w:spacing w:after="0"/>
              <w:rPr>
                <w:lang w:val="pt-PT"/>
              </w:rPr>
            </w:pPr>
            <w:r w:rsidRPr="00046ADF">
              <w:rPr>
                <w:lang w:val="pt-PT"/>
              </w:rPr>
              <w:t>Os resultados são apresentados para uma economia total em um nível anual: apen</w:t>
            </w:r>
            <w:r>
              <w:rPr>
                <w:lang w:val="pt-PT"/>
              </w:rPr>
              <w:t>a</w:t>
            </w:r>
            <w:r w:rsidRPr="00046ADF">
              <w:rPr>
                <w:lang w:val="pt-PT"/>
              </w:rPr>
              <w:t>s FFI externos.</w:t>
            </w:r>
          </w:p>
        </w:tc>
      </w:tr>
      <w:tr w:rsidR="00C76757" w:rsidRPr="00046ADF" w14:paraId="18F49E47" w14:textId="77777777" w:rsidTr="00EF3DEA">
        <w:tc>
          <w:tcPr>
            <w:tcW w:w="9062" w:type="dxa"/>
            <w:gridSpan w:val="6"/>
            <w:shd w:val="clear" w:color="auto" w:fill="DEEAF6" w:themeFill="accent5" w:themeFillTint="33"/>
          </w:tcPr>
          <w:p w14:paraId="08D61BC9" w14:textId="77777777" w:rsidR="00C76757" w:rsidRPr="00046ADF" w:rsidRDefault="00C76757" w:rsidP="00EF3DEA">
            <w:pPr>
              <w:spacing w:after="0"/>
              <w:rPr>
                <w:lang w:val="pt-PT"/>
              </w:rPr>
            </w:pPr>
            <w:r w:rsidRPr="00046ADF">
              <w:rPr>
                <w:noProof/>
                <w:lang w:val="pt-PT"/>
              </w:rPr>
              <w:drawing>
                <wp:inline distT="0" distB="0" distL="0" distR="0" wp14:anchorId="1D215500" wp14:editId="22C6A171">
                  <wp:extent cx="288000" cy="288000"/>
                  <wp:effectExtent l="0" t="0" r="0" b="0"/>
                  <wp:docPr id="59" name="Graphic 59"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9"/>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Notas especiais)</w:t>
            </w:r>
          </w:p>
        </w:tc>
      </w:tr>
      <w:tr w:rsidR="00C76757" w:rsidRPr="00891C6A" w14:paraId="7C0F5349" w14:textId="77777777" w:rsidTr="00EF3DEA">
        <w:tc>
          <w:tcPr>
            <w:tcW w:w="9062" w:type="dxa"/>
            <w:gridSpan w:val="6"/>
          </w:tcPr>
          <w:p w14:paraId="7B68BC5E" w14:textId="77777777" w:rsidR="00C76757" w:rsidRPr="00046ADF" w:rsidRDefault="00C76757" w:rsidP="00EF3DEA">
            <w:pPr>
              <w:spacing w:after="0"/>
              <w:rPr>
                <w:lang w:val="pt-PT"/>
              </w:rPr>
            </w:pPr>
            <w:r w:rsidRPr="00046ADF">
              <w:rPr>
                <w:lang w:val="pt-PT"/>
              </w:rPr>
              <w:t>As saídas são obtidas apenas usando suposições e se as circunstâncias forem adequadas. A determinação de influxos de FFI usando este método não está prontamente disponível.</w:t>
            </w:r>
          </w:p>
        </w:tc>
      </w:tr>
      <w:tr w:rsidR="00C76757" w:rsidRPr="00046ADF" w14:paraId="2767D355" w14:textId="77777777" w:rsidTr="00EF3DEA">
        <w:tc>
          <w:tcPr>
            <w:tcW w:w="9062" w:type="dxa"/>
            <w:gridSpan w:val="6"/>
            <w:shd w:val="clear" w:color="auto" w:fill="DEEAF6" w:themeFill="accent5" w:themeFillTint="33"/>
          </w:tcPr>
          <w:p w14:paraId="72FB2282" w14:textId="77777777" w:rsidR="00C76757" w:rsidRPr="00046ADF" w:rsidRDefault="00C76757" w:rsidP="00EF3DEA">
            <w:pPr>
              <w:spacing w:after="0"/>
              <w:rPr>
                <w:lang w:val="pt-PT"/>
              </w:rPr>
            </w:pPr>
            <w:r w:rsidRPr="00046ADF">
              <w:rPr>
                <w:noProof/>
                <w:lang w:val="pt-PT"/>
              </w:rPr>
              <w:drawing>
                <wp:inline distT="0" distB="0" distL="0" distR="0" wp14:anchorId="392C279F" wp14:editId="6DF8C1BF">
                  <wp:extent cx="288000" cy="288000"/>
                  <wp:effectExtent l="0" t="0" r="0" b="0"/>
                  <wp:docPr id="60" name="Graphic 60"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0"/>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Estudos de caso</w:t>
            </w:r>
          </w:p>
        </w:tc>
      </w:tr>
      <w:tr w:rsidR="00C76757" w:rsidRPr="00891C6A" w14:paraId="424EA12C" w14:textId="77777777" w:rsidTr="00EF3DEA">
        <w:tc>
          <w:tcPr>
            <w:tcW w:w="9062" w:type="dxa"/>
            <w:gridSpan w:val="6"/>
          </w:tcPr>
          <w:p w14:paraId="55233254" w14:textId="77777777" w:rsidR="00C76757" w:rsidRPr="00046ADF" w:rsidRDefault="00C76757" w:rsidP="00EF3DEA">
            <w:pPr>
              <w:spacing w:after="0"/>
              <w:rPr>
                <w:lang w:val="pt-PT"/>
              </w:rPr>
            </w:pPr>
            <w:r w:rsidRPr="00046ADF">
              <w:rPr>
                <w:lang w:val="pt-PT"/>
              </w:rPr>
              <w:t>1. Transferências bancárias internacionais na Itália (Cassetta et al., 2014).</w:t>
            </w:r>
          </w:p>
        </w:tc>
      </w:tr>
    </w:tbl>
    <w:p w14:paraId="5D89FAF6" w14:textId="77777777" w:rsidR="00C76757" w:rsidRPr="00046ADF" w:rsidRDefault="00C76757" w:rsidP="00C76757">
      <w:pPr>
        <w:rPr>
          <w:lang w:val="pt-PT"/>
        </w:rPr>
      </w:pPr>
      <w:r w:rsidRPr="00046ADF">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40"/>
        <w:gridCol w:w="2125"/>
        <w:gridCol w:w="1702"/>
        <w:gridCol w:w="1985"/>
        <w:gridCol w:w="845"/>
      </w:tblGrid>
      <w:tr w:rsidR="00C76757" w:rsidRPr="00046ADF" w14:paraId="7891592F" w14:textId="77777777" w:rsidTr="00EF3DEA">
        <w:tc>
          <w:tcPr>
            <w:tcW w:w="2265" w:type="dxa"/>
            <w:tcBorders>
              <w:right w:val="nil"/>
            </w:tcBorders>
            <w:shd w:val="clear" w:color="auto" w:fill="DEEAF6" w:themeFill="accent5" w:themeFillTint="33"/>
          </w:tcPr>
          <w:p w14:paraId="116D9160" w14:textId="77777777" w:rsidR="00C76757" w:rsidRPr="00046ADF" w:rsidRDefault="00C76757" w:rsidP="00EF3DEA">
            <w:pPr>
              <w:spacing w:after="0"/>
              <w:rPr>
                <w:lang w:val="pt-PT"/>
              </w:rPr>
            </w:pPr>
            <w:r w:rsidRPr="00046ADF">
              <w:rPr>
                <w:b/>
                <w:bCs/>
                <w:lang w:val="pt-PT"/>
              </w:rPr>
              <w:lastRenderedPageBreak/>
              <w:t>Folha de dados do método</w:t>
            </w:r>
          </w:p>
        </w:tc>
        <w:tc>
          <w:tcPr>
            <w:tcW w:w="6797" w:type="dxa"/>
            <w:gridSpan w:val="5"/>
            <w:tcBorders>
              <w:left w:val="nil"/>
            </w:tcBorders>
            <w:shd w:val="clear" w:color="auto" w:fill="DEEAF6" w:themeFill="accent5" w:themeFillTint="33"/>
          </w:tcPr>
          <w:p w14:paraId="336ED9D5" w14:textId="77777777" w:rsidR="00C76757" w:rsidRPr="00046ADF" w:rsidRDefault="00C76757" w:rsidP="00EF3DEA">
            <w:pPr>
              <w:spacing w:after="0"/>
              <w:jc w:val="right"/>
              <w:rPr>
                <w:b/>
                <w:bCs/>
                <w:lang w:val="pt-PT"/>
              </w:rPr>
            </w:pPr>
            <w:r w:rsidRPr="00046ADF">
              <w:rPr>
                <w:b/>
                <w:bCs/>
                <w:lang w:val="pt-PT"/>
              </w:rPr>
              <w:t>DIRECTRIZES METODOLÓGICAS PARA MEDIR</w:t>
            </w:r>
          </w:p>
          <w:p w14:paraId="3EA77E92" w14:textId="77777777" w:rsidR="00C76757" w:rsidRPr="00046ADF" w:rsidRDefault="00C76757" w:rsidP="00EF3DEA">
            <w:pPr>
              <w:spacing w:after="0"/>
              <w:jc w:val="right"/>
              <w:rPr>
                <w:b/>
                <w:bCs/>
                <w:lang w:val="pt-PT"/>
              </w:rPr>
            </w:pPr>
            <w:r w:rsidRPr="00046ADF">
              <w:rPr>
                <w:b/>
                <w:bCs/>
                <w:lang w:val="pt-PT"/>
              </w:rPr>
              <w:t>FLUXOS FINANCEIROS FISCAIS E COMERCIAIS ILÍCITOS</w:t>
            </w:r>
          </w:p>
          <w:p w14:paraId="3AAF77BD" w14:textId="77777777" w:rsidR="00C76757" w:rsidRPr="00046ADF" w:rsidRDefault="00C76757" w:rsidP="00EF3DEA">
            <w:pPr>
              <w:spacing w:after="0"/>
              <w:jc w:val="right"/>
              <w:rPr>
                <w:b/>
                <w:bCs/>
                <w:sz w:val="20"/>
                <w:szCs w:val="20"/>
                <w:lang w:val="pt-PT"/>
              </w:rPr>
            </w:pPr>
            <w:r w:rsidRPr="00046ADF">
              <w:rPr>
                <w:b/>
                <w:bCs/>
                <w:lang w:val="pt-PT"/>
              </w:rPr>
              <w:t>Métodos para teste piloto</w:t>
            </w:r>
          </w:p>
        </w:tc>
      </w:tr>
      <w:tr w:rsidR="00C76757" w:rsidRPr="00891C6A" w14:paraId="22734A52" w14:textId="77777777" w:rsidTr="00EF3DEA">
        <w:tc>
          <w:tcPr>
            <w:tcW w:w="2405" w:type="dxa"/>
            <w:gridSpan w:val="2"/>
            <w:shd w:val="clear" w:color="auto" w:fill="DEEAF6" w:themeFill="accent5" w:themeFillTint="33"/>
          </w:tcPr>
          <w:p w14:paraId="7B1763DF" w14:textId="77777777" w:rsidR="00C76757" w:rsidRPr="00046ADF" w:rsidRDefault="00C76757" w:rsidP="00EF3DEA">
            <w:pPr>
              <w:rPr>
                <w:b/>
                <w:lang w:val="pt-PT"/>
              </w:rPr>
            </w:pPr>
            <w:r w:rsidRPr="00046ADF">
              <w:rPr>
                <w:b/>
                <w:lang w:val="pt-PT"/>
              </w:rPr>
              <w:t>Título do método</w:t>
            </w:r>
          </w:p>
        </w:tc>
        <w:tc>
          <w:tcPr>
            <w:tcW w:w="6657" w:type="dxa"/>
            <w:gridSpan w:val="4"/>
          </w:tcPr>
          <w:p w14:paraId="4B5F4F55" w14:textId="1C2AEE83" w:rsidR="00C76757" w:rsidRPr="00046ADF" w:rsidRDefault="00CB4DAA" w:rsidP="00EF3DEA">
            <w:pPr>
              <w:rPr>
                <w:lang w:val="pt-PT"/>
              </w:rPr>
            </w:pPr>
            <w:r w:rsidRPr="00046ADF">
              <w:rPr>
                <w:lang w:val="pt-PT"/>
              </w:rPr>
              <w:t>#</w:t>
            </w:r>
            <w:r w:rsidR="00C76757" w:rsidRPr="00046ADF">
              <w:rPr>
                <w:lang w:val="pt-PT"/>
              </w:rPr>
              <w:t xml:space="preserve"> 6 </w:t>
            </w:r>
            <w:r w:rsidR="007A1941" w:rsidRPr="00046ADF">
              <w:rPr>
                <w:lang w:val="pt-PT"/>
              </w:rPr>
              <w:t>Fluxos de riqueza financeira offshore por país</w:t>
            </w:r>
          </w:p>
        </w:tc>
      </w:tr>
      <w:tr w:rsidR="00C76757" w:rsidRPr="00046ADF" w14:paraId="110FEDD2" w14:textId="77777777" w:rsidTr="00EF3DEA">
        <w:tc>
          <w:tcPr>
            <w:tcW w:w="2405" w:type="dxa"/>
            <w:gridSpan w:val="2"/>
            <w:shd w:val="clear" w:color="auto" w:fill="DEEAF6" w:themeFill="accent5" w:themeFillTint="33"/>
          </w:tcPr>
          <w:p w14:paraId="3BF6E87B" w14:textId="77777777" w:rsidR="00C76757" w:rsidRPr="00046ADF" w:rsidRDefault="00C76757" w:rsidP="00EF3DEA">
            <w:pPr>
              <w:rPr>
                <w:b/>
                <w:lang w:val="pt-PT"/>
              </w:rPr>
            </w:pPr>
            <w:r w:rsidRPr="00046ADF">
              <w:rPr>
                <w:b/>
                <w:lang w:val="pt-PT"/>
              </w:rPr>
              <w:t>Título (s) alternativo (s)</w:t>
            </w:r>
          </w:p>
        </w:tc>
        <w:tc>
          <w:tcPr>
            <w:tcW w:w="6657" w:type="dxa"/>
            <w:gridSpan w:val="4"/>
          </w:tcPr>
          <w:p w14:paraId="0A419579" w14:textId="77777777" w:rsidR="00C76757" w:rsidRPr="00046ADF" w:rsidRDefault="00C76757" w:rsidP="00EF3DEA">
            <w:pPr>
              <w:rPr>
                <w:lang w:val="pt-PT"/>
              </w:rPr>
            </w:pPr>
          </w:p>
        </w:tc>
      </w:tr>
      <w:tr w:rsidR="00C76757" w:rsidRPr="00891C6A" w14:paraId="7A38BC72" w14:textId="77777777" w:rsidTr="00EF3DEA">
        <w:tc>
          <w:tcPr>
            <w:tcW w:w="2405" w:type="dxa"/>
            <w:gridSpan w:val="2"/>
            <w:shd w:val="clear" w:color="auto" w:fill="DEEAF6" w:themeFill="accent5" w:themeFillTint="33"/>
          </w:tcPr>
          <w:p w14:paraId="2B2340DF" w14:textId="77777777" w:rsidR="00C76757" w:rsidRPr="00046ADF" w:rsidRDefault="00C76757" w:rsidP="00EF3DEA">
            <w:pPr>
              <w:rPr>
                <w:b/>
                <w:lang w:val="pt-PT"/>
              </w:rPr>
            </w:pPr>
            <w:r w:rsidRPr="00046ADF">
              <w:rPr>
                <w:b/>
                <w:lang w:val="pt-PT"/>
              </w:rPr>
              <w:t>Grupo de método</w:t>
            </w:r>
          </w:p>
        </w:tc>
        <w:tc>
          <w:tcPr>
            <w:tcW w:w="6657" w:type="dxa"/>
            <w:gridSpan w:val="4"/>
          </w:tcPr>
          <w:p w14:paraId="027C6B9B" w14:textId="77777777" w:rsidR="00C76757" w:rsidRPr="00046ADF" w:rsidRDefault="00C76757" w:rsidP="00EF3DEA">
            <w:pPr>
              <w:rPr>
                <w:lang w:val="pt-PT"/>
              </w:rPr>
            </w:pPr>
            <w:r w:rsidRPr="00046ADF">
              <w:rPr>
                <w:lang w:val="pt-PT"/>
              </w:rPr>
              <w:t>Transferência de riqueza para sonegar impostos por indivíduos</w:t>
            </w:r>
          </w:p>
        </w:tc>
      </w:tr>
      <w:tr w:rsidR="00C76757" w:rsidRPr="00046ADF" w14:paraId="32F515D4" w14:textId="77777777" w:rsidTr="00EF3DEA">
        <w:tc>
          <w:tcPr>
            <w:tcW w:w="2405" w:type="dxa"/>
            <w:gridSpan w:val="2"/>
            <w:shd w:val="clear" w:color="auto" w:fill="DEEAF6" w:themeFill="accent5" w:themeFillTint="33"/>
          </w:tcPr>
          <w:p w14:paraId="6DA268E2" w14:textId="77777777" w:rsidR="00C76757" w:rsidRPr="00046ADF" w:rsidRDefault="00C76757" w:rsidP="00EF3DEA">
            <w:pPr>
              <w:rPr>
                <w:b/>
                <w:lang w:val="pt-PT"/>
              </w:rPr>
            </w:pPr>
            <w:r w:rsidRPr="00046ADF">
              <w:rPr>
                <w:b/>
                <w:lang w:val="pt-PT"/>
              </w:rPr>
              <w:t>Tipo de fluxo de FFI direccionado</w:t>
            </w:r>
          </w:p>
        </w:tc>
        <w:tc>
          <w:tcPr>
            <w:tcW w:w="3827" w:type="dxa"/>
            <w:gridSpan w:val="2"/>
          </w:tcPr>
          <w:p w14:paraId="0A9EA69B" w14:textId="77777777" w:rsidR="00C76757" w:rsidRPr="00046ADF" w:rsidRDefault="00C76757" w:rsidP="00EF3DEA">
            <w:pPr>
              <w:rPr>
                <w:lang w:val="pt-PT"/>
              </w:rPr>
            </w:pPr>
            <w:r w:rsidRPr="00046ADF">
              <w:rPr>
                <w:lang w:val="pt-PT"/>
              </w:rPr>
              <w:t>F1 Transferência de riqueza para sonegar impostos</w:t>
            </w:r>
          </w:p>
        </w:tc>
        <w:tc>
          <w:tcPr>
            <w:tcW w:w="1985" w:type="dxa"/>
            <w:shd w:val="clear" w:color="auto" w:fill="DEEAF6" w:themeFill="accent5" w:themeFillTint="33"/>
          </w:tcPr>
          <w:p w14:paraId="036A4F92" w14:textId="77777777" w:rsidR="00C76757" w:rsidRPr="00046ADF" w:rsidRDefault="00C76757" w:rsidP="00EF3DEA">
            <w:pPr>
              <w:spacing w:after="0"/>
              <w:rPr>
                <w:b/>
                <w:bCs/>
                <w:lang w:val="pt-PT"/>
              </w:rPr>
            </w:pPr>
            <w:r w:rsidRPr="00046ADF">
              <w:rPr>
                <w:b/>
                <w:bCs/>
                <w:lang w:val="pt-PT"/>
              </w:rPr>
              <w:t>Classificação de camadas</w:t>
            </w:r>
          </w:p>
        </w:tc>
        <w:tc>
          <w:tcPr>
            <w:tcW w:w="845" w:type="dxa"/>
          </w:tcPr>
          <w:p w14:paraId="207B3D8D" w14:textId="77777777" w:rsidR="00C76757" w:rsidRPr="00046ADF" w:rsidRDefault="00C76757" w:rsidP="00EF3DEA">
            <w:pPr>
              <w:spacing w:after="0"/>
              <w:rPr>
                <w:lang w:val="pt-PT"/>
              </w:rPr>
            </w:pPr>
            <w:r w:rsidRPr="00046ADF">
              <w:rPr>
                <w:lang w:val="pt-PT"/>
              </w:rPr>
              <w:t>Nível 3</w:t>
            </w:r>
          </w:p>
        </w:tc>
      </w:tr>
      <w:tr w:rsidR="00C76757" w:rsidRPr="00046ADF" w14:paraId="339B1636" w14:textId="77777777" w:rsidTr="00EF3DEA">
        <w:tc>
          <w:tcPr>
            <w:tcW w:w="9062" w:type="dxa"/>
            <w:gridSpan w:val="6"/>
            <w:shd w:val="clear" w:color="auto" w:fill="DEEAF6" w:themeFill="accent5" w:themeFillTint="33"/>
          </w:tcPr>
          <w:p w14:paraId="7F53240D" w14:textId="77777777" w:rsidR="00C76757" w:rsidRPr="00046ADF" w:rsidRDefault="00C76757" w:rsidP="00EF3DEA">
            <w:pPr>
              <w:spacing w:after="0"/>
              <w:rPr>
                <w:lang w:val="pt-PT"/>
              </w:rPr>
            </w:pPr>
            <w:r w:rsidRPr="00046ADF">
              <w:rPr>
                <w:noProof/>
                <w:lang w:val="pt-PT"/>
              </w:rPr>
              <w:drawing>
                <wp:inline distT="0" distB="0" distL="0" distR="0" wp14:anchorId="7B2DA50F" wp14:editId="21222736">
                  <wp:extent cx="288000" cy="288000"/>
                  <wp:effectExtent l="0" t="0" r="0" b="0"/>
                  <wp:docPr id="61" name="Graphic 6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Conceito</w:t>
            </w:r>
          </w:p>
        </w:tc>
      </w:tr>
      <w:tr w:rsidR="00C76757" w:rsidRPr="00891C6A" w14:paraId="7A9C3785" w14:textId="77777777" w:rsidTr="00EF3DEA">
        <w:tc>
          <w:tcPr>
            <w:tcW w:w="9062" w:type="dxa"/>
            <w:gridSpan w:val="6"/>
          </w:tcPr>
          <w:p w14:paraId="5FAFE976" w14:textId="77777777" w:rsidR="00C76757" w:rsidRPr="00046ADF" w:rsidRDefault="00C76757" w:rsidP="00EF3DEA">
            <w:pPr>
              <w:spacing w:after="0"/>
              <w:rPr>
                <w:lang w:val="pt-PT"/>
              </w:rPr>
            </w:pPr>
            <w:r w:rsidRPr="00046ADF">
              <w:rPr>
                <w:lang w:val="pt-PT"/>
              </w:rPr>
              <w:t>O método parte do desequilíbrio de nível global entre os passivos e activos da carteira internacional, atribuindo-o ao património detido por pessoas físicas fora de seus países e não reportado às autoridades fiscais onde residem. A taxa de não conformidade sobre a riqueza offshore é aplicada, seguida pela transformação da medida de estoque em fluxo para identificar o nível de fluxos ilícitos.</w:t>
            </w:r>
          </w:p>
        </w:tc>
      </w:tr>
      <w:tr w:rsidR="00C76757" w:rsidRPr="00046ADF" w14:paraId="794640BC" w14:textId="77777777" w:rsidTr="00EF3DEA">
        <w:tc>
          <w:tcPr>
            <w:tcW w:w="9062" w:type="dxa"/>
            <w:gridSpan w:val="6"/>
            <w:shd w:val="clear" w:color="auto" w:fill="DEEAF6" w:themeFill="accent5" w:themeFillTint="33"/>
          </w:tcPr>
          <w:p w14:paraId="560AD97C" w14:textId="77777777" w:rsidR="00C76757" w:rsidRPr="00046ADF" w:rsidRDefault="00C76757" w:rsidP="00EF3DEA">
            <w:pPr>
              <w:spacing w:after="0"/>
              <w:rPr>
                <w:lang w:val="pt-PT"/>
              </w:rPr>
            </w:pPr>
            <w:r w:rsidRPr="00046ADF">
              <w:rPr>
                <w:noProof/>
                <w:lang w:val="pt-PT"/>
              </w:rPr>
              <w:drawing>
                <wp:inline distT="0" distB="0" distL="0" distR="0" wp14:anchorId="364718B6" wp14:editId="608BCCA4">
                  <wp:extent cx="288000" cy="288000"/>
                  <wp:effectExtent l="0" t="0" r="0" b="0"/>
                  <wp:docPr id="62" name="Graphic 62"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Premissas</w:t>
            </w:r>
          </w:p>
        </w:tc>
      </w:tr>
      <w:tr w:rsidR="00C76757" w:rsidRPr="00891C6A" w14:paraId="7E2D0DA9" w14:textId="77777777" w:rsidTr="00EF3DEA">
        <w:tc>
          <w:tcPr>
            <w:tcW w:w="9062" w:type="dxa"/>
            <w:gridSpan w:val="6"/>
          </w:tcPr>
          <w:p w14:paraId="172E7292" w14:textId="77777777" w:rsidR="00C76757" w:rsidRPr="00046ADF" w:rsidRDefault="00C76757" w:rsidP="00EF3DEA">
            <w:pPr>
              <w:spacing w:after="0"/>
              <w:rPr>
                <w:lang w:val="pt-PT"/>
              </w:rPr>
            </w:pPr>
            <w:r w:rsidRPr="00046ADF">
              <w:rPr>
                <w:lang w:val="pt-PT"/>
              </w:rPr>
              <w:t>1. Riqueza financeira offshore composta apenas por activos de carteira e depósitos (excluindo activos imobiliários, obras de arte, seguro de vida, dinheiro em espécie, criptomoedas).</w:t>
            </w:r>
          </w:p>
          <w:p w14:paraId="6BEE11B2" w14:textId="77777777" w:rsidR="00C76757" w:rsidRPr="00046ADF" w:rsidRDefault="00C76757" w:rsidP="00EF3DEA">
            <w:pPr>
              <w:spacing w:after="0"/>
              <w:rPr>
                <w:lang w:val="pt-PT"/>
              </w:rPr>
            </w:pPr>
            <w:r w:rsidRPr="00046ADF">
              <w:rPr>
                <w:lang w:val="pt-PT"/>
              </w:rPr>
              <w:t>2. Divida a riqueza offshore em depósitos e investimentos de carteira com uma proporção de 25% - 75%.</w:t>
            </w:r>
          </w:p>
          <w:p w14:paraId="2729BE85" w14:textId="77777777" w:rsidR="00C76757" w:rsidRPr="00046ADF" w:rsidRDefault="00C76757" w:rsidP="00EF3DEA">
            <w:pPr>
              <w:spacing w:after="0"/>
              <w:rPr>
                <w:lang w:val="pt-PT"/>
              </w:rPr>
            </w:pPr>
            <w:r w:rsidRPr="00046ADF">
              <w:rPr>
                <w:lang w:val="pt-PT"/>
              </w:rPr>
              <w:t>3. Participações de propriedade de depósitos internacionais detidos por pessoas físicas nas IFCs como procuradores.</w:t>
            </w:r>
          </w:p>
          <w:p w14:paraId="077EBAAE" w14:textId="77777777" w:rsidR="00C76757" w:rsidRPr="00046ADF" w:rsidRDefault="00C76757" w:rsidP="00EF3DEA">
            <w:pPr>
              <w:spacing w:after="0"/>
              <w:rPr>
                <w:lang w:val="pt-PT"/>
              </w:rPr>
            </w:pPr>
            <w:r w:rsidRPr="00046ADF">
              <w:rPr>
                <w:lang w:val="pt-PT"/>
              </w:rPr>
              <w:t>4. Supõe-se que um país com um grande estoque de saída de IED (em relação ao PIB) tenha uma grande proporção de depósitos corporativos de saída.</w:t>
            </w:r>
          </w:p>
          <w:p w14:paraId="23CC47D4" w14:textId="77777777" w:rsidR="00C76757" w:rsidRPr="00046ADF" w:rsidRDefault="00C76757" w:rsidP="00EF3DEA">
            <w:pPr>
              <w:spacing w:after="0"/>
              <w:rPr>
                <w:lang w:val="pt-PT"/>
              </w:rPr>
            </w:pPr>
            <w:r w:rsidRPr="00046ADF">
              <w:rPr>
                <w:lang w:val="pt-PT"/>
              </w:rPr>
              <w:t>5. A taxa de não conformidade é de 75%.</w:t>
            </w:r>
          </w:p>
          <w:p w14:paraId="6EEC66B5" w14:textId="77777777" w:rsidR="00C76757" w:rsidRPr="00046ADF" w:rsidRDefault="00C76757" w:rsidP="00EF3DEA">
            <w:pPr>
              <w:spacing w:after="0"/>
              <w:rPr>
                <w:lang w:val="pt-PT"/>
              </w:rPr>
            </w:pPr>
            <w:r w:rsidRPr="00046ADF">
              <w:rPr>
                <w:lang w:val="pt-PT"/>
              </w:rPr>
              <w:t xml:space="preserve">6. A diferença entre o valor da riqueza offshore no ano actual e no ano anterior (corrigido para avaliação de activos) é uma medida de saídas de FFI. </w:t>
            </w:r>
          </w:p>
        </w:tc>
      </w:tr>
      <w:tr w:rsidR="00C76757" w:rsidRPr="00046ADF" w14:paraId="686D61DD" w14:textId="77777777" w:rsidTr="00EF3DEA">
        <w:tc>
          <w:tcPr>
            <w:tcW w:w="4530" w:type="dxa"/>
            <w:gridSpan w:val="3"/>
            <w:shd w:val="clear" w:color="auto" w:fill="DEEAF6" w:themeFill="accent5" w:themeFillTint="33"/>
          </w:tcPr>
          <w:p w14:paraId="2171F96B" w14:textId="77777777" w:rsidR="00C76757" w:rsidRPr="00046ADF" w:rsidRDefault="00C76757" w:rsidP="00EF3DEA">
            <w:pPr>
              <w:spacing w:after="0"/>
              <w:rPr>
                <w:lang w:val="pt-PT"/>
              </w:rPr>
            </w:pPr>
            <w:r w:rsidRPr="00046ADF">
              <w:rPr>
                <w:noProof/>
                <w:lang w:val="pt-PT"/>
              </w:rPr>
              <w:drawing>
                <wp:inline distT="0" distB="0" distL="0" distR="0" wp14:anchorId="6E369734" wp14:editId="3F5387BF">
                  <wp:extent cx="288000" cy="288000"/>
                  <wp:effectExtent l="0" t="0" r="0" b="0"/>
                  <wp:docPr id="261" name="Graphic 11" descr="Badge 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Forças</w:t>
            </w:r>
          </w:p>
        </w:tc>
        <w:tc>
          <w:tcPr>
            <w:tcW w:w="4532" w:type="dxa"/>
            <w:gridSpan w:val="3"/>
            <w:shd w:val="clear" w:color="auto" w:fill="DEEAF6" w:themeFill="accent5" w:themeFillTint="33"/>
          </w:tcPr>
          <w:p w14:paraId="2C7A3C70" w14:textId="77777777" w:rsidR="00C76757" w:rsidRPr="00046ADF" w:rsidRDefault="00C76757" w:rsidP="00EF3DEA">
            <w:pPr>
              <w:spacing w:after="0"/>
              <w:rPr>
                <w:lang w:val="pt-PT"/>
              </w:rPr>
            </w:pPr>
            <w:r w:rsidRPr="00046ADF">
              <w:rPr>
                <w:noProof/>
                <w:lang w:val="pt-PT"/>
              </w:rPr>
              <w:drawing>
                <wp:inline distT="0" distB="0" distL="0" distR="0" wp14:anchorId="028B8CEC" wp14:editId="3EA9E7BE">
                  <wp:extent cx="288000" cy="288000"/>
                  <wp:effectExtent l="0" t="0" r="0" b="0"/>
                  <wp:docPr id="262" name="Graphic 192" descr="Badge Unfoll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Limitações</w:t>
            </w:r>
          </w:p>
        </w:tc>
      </w:tr>
      <w:tr w:rsidR="00C76757" w:rsidRPr="00891C6A" w14:paraId="08790FAF" w14:textId="77777777" w:rsidTr="00EF3DEA">
        <w:tc>
          <w:tcPr>
            <w:tcW w:w="4530" w:type="dxa"/>
            <w:gridSpan w:val="3"/>
          </w:tcPr>
          <w:p w14:paraId="47503892" w14:textId="77777777" w:rsidR="00C76757" w:rsidRPr="00046ADF" w:rsidRDefault="00C76757" w:rsidP="00EF3DEA">
            <w:pPr>
              <w:spacing w:after="0"/>
              <w:rPr>
                <w:lang w:val="pt-PT"/>
              </w:rPr>
            </w:pPr>
            <w:r w:rsidRPr="00046ADF">
              <w:rPr>
                <w:lang w:val="pt-PT"/>
              </w:rPr>
              <w:t>1. Conceito a partir do desequilíbrio de nível global entre passivos e ativos da carteira internacional.</w:t>
            </w:r>
          </w:p>
        </w:tc>
        <w:tc>
          <w:tcPr>
            <w:tcW w:w="4532" w:type="dxa"/>
            <w:gridSpan w:val="3"/>
          </w:tcPr>
          <w:p w14:paraId="6B971858" w14:textId="77777777" w:rsidR="00C76757" w:rsidRPr="00046ADF" w:rsidRDefault="00C76757" w:rsidP="00EF3DEA">
            <w:pPr>
              <w:spacing w:after="0"/>
              <w:rPr>
                <w:lang w:val="pt-PT"/>
              </w:rPr>
            </w:pPr>
            <w:r w:rsidRPr="00046ADF">
              <w:rPr>
                <w:lang w:val="pt-PT"/>
              </w:rPr>
              <w:t>1. Abordagem macro.</w:t>
            </w:r>
          </w:p>
          <w:p w14:paraId="1E8DE9F9" w14:textId="77777777" w:rsidR="00C76757" w:rsidRPr="00046ADF" w:rsidRDefault="00C76757" w:rsidP="00EF3DEA">
            <w:pPr>
              <w:spacing w:after="0"/>
              <w:rPr>
                <w:lang w:val="pt-PT"/>
              </w:rPr>
            </w:pPr>
            <w:r w:rsidRPr="00046ADF">
              <w:rPr>
                <w:lang w:val="pt-PT"/>
              </w:rPr>
              <w:t>2. Associação de depósitos com sua origem: vários arranjos de triagem, por exemplo, empresas de fachada, evitam a estimativa directa de acções de propriedade de riqueza offshore não declarada.</w:t>
            </w:r>
          </w:p>
          <w:p w14:paraId="4555AEA1" w14:textId="77777777" w:rsidR="00C76757" w:rsidRPr="00046ADF" w:rsidRDefault="00C76757" w:rsidP="00EF3DEA">
            <w:pPr>
              <w:spacing w:after="0"/>
              <w:rPr>
                <w:lang w:val="pt-PT"/>
              </w:rPr>
            </w:pPr>
            <w:r w:rsidRPr="00046ADF">
              <w:rPr>
                <w:lang w:val="pt-PT"/>
              </w:rPr>
              <w:t>3. Não é possível distinguir depósitos internacionais de pessoas físicas e de empresas.</w:t>
            </w:r>
          </w:p>
          <w:p w14:paraId="031920AC" w14:textId="77777777" w:rsidR="00C76757" w:rsidRPr="00046ADF" w:rsidRDefault="00C76757" w:rsidP="00EF3DEA">
            <w:pPr>
              <w:spacing w:after="0"/>
              <w:rPr>
                <w:lang w:val="pt-PT"/>
              </w:rPr>
            </w:pPr>
            <w:r w:rsidRPr="00046ADF">
              <w:rPr>
                <w:lang w:val="pt-PT"/>
              </w:rPr>
              <w:t>4. Baseando-se em várias suposições.</w:t>
            </w:r>
          </w:p>
          <w:p w14:paraId="76071337" w14:textId="77777777" w:rsidR="00C76757" w:rsidRPr="00046ADF" w:rsidRDefault="00C76757" w:rsidP="00EF3DEA">
            <w:pPr>
              <w:spacing w:after="0"/>
              <w:rPr>
                <w:lang w:val="pt-PT"/>
              </w:rPr>
            </w:pPr>
            <w:r w:rsidRPr="00046ADF">
              <w:rPr>
                <w:lang w:val="pt-PT"/>
              </w:rPr>
              <w:t>5. Produz apen</w:t>
            </w:r>
            <w:r>
              <w:rPr>
                <w:lang w:val="pt-PT"/>
              </w:rPr>
              <w:t>a</w:t>
            </w:r>
            <w:r w:rsidRPr="00046ADF">
              <w:rPr>
                <w:lang w:val="pt-PT"/>
              </w:rPr>
              <w:t>s FFI externos sob certas circunstâncias.</w:t>
            </w:r>
          </w:p>
        </w:tc>
      </w:tr>
      <w:tr w:rsidR="00C76757" w:rsidRPr="00046ADF" w14:paraId="797E29A5" w14:textId="77777777" w:rsidTr="00EF3DEA">
        <w:tc>
          <w:tcPr>
            <w:tcW w:w="4530" w:type="dxa"/>
            <w:gridSpan w:val="3"/>
            <w:shd w:val="clear" w:color="auto" w:fill="DEEAF6" w:themeFill="accent5" w:themeFillTint="33"/>
          </w:tcPr>
          <w:p w14:paraId="275B69F1" w14:textId="77777777" w:rsidR="00C76757" w:rsidRPr="00046ADF" w:rsidRDefault="00C76757" w:rsidP="00EF3DEA">
            <w:pPr>
              <w:spacing w:after="0"/>
              <w:rPr>
                <w:lang w:val="pt-PT"/>
              </w:rPr>
            </w:pPr>
            <w:r w:rsidRPr="00046ADF">
              <w:rPr>
                <w:noProof/>
                <w:lang w:val="pt-PT"/>
              </w:rPr>
              <w:lastRenderedPageBreak/>
              <w:drawing>
                <wp:inline distT="0" distB="0" distL="0" distR="0" wp14:anchorId="172C2BBC" wp14:editId="14968F43">
                  <wp:extent cx="288000" cy="288000"/>
                  <wp:effectExtent l="0" t="0" r="0" b="0"/>
                  <wp:docPr id="272" name="Graphic 2"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Fontes de dados</w:t>
            </w:r>
          </w:p>
        </w:tc>
        <w:tc>
          <w:tcPr>
            <w:tcW w:w="4532" w:type="dxa"/>
            <w:gridSpan w:val="3"/>
            <w:shd w:val="clear" w:color="auto" w:fill="DEEAF6" w:themeFill="accent5" w:themeFillTint="33"/>
          </w:tcPr>
          <w:p w14:paraId="78FC1352" w14:textId="77777777" w:rsidR="00C76757" w:rsidRPr="00046ADF" w:rsidRDefault="00C76757" w:rsidP="00EF3DEA">
            <w:pPr>
              <w:spacing w:after="0"/>
              <w:rPr>
                <w:lang w:val="pt-PT"/>
              </w:rPr>
            </w:pPr>
            <w:r w:rsidRPr="00046ADF">
              <w:rPr>
                <w:noProof/>
                <w:lang w:val="pt-PT"/>
              </w:rPr>
              <w:drawing>
                <wp:inline distT="0" distB="0" distL="0" distR="0" wp14:anchorId="6F02A726" wp14:editId="53D34448">
                  <wp:extent cx="288000" cy="288000"/>
                  <wp:effectExtent l="0" t="0" r="0" b="0"/>
                  <wp:docPr id="273" name="Graphic 193"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r w:rsidRPr="00046ADF">
              <w:rPr>
                <w:lang w:val="pt-PT"/>
              </w:rPr>
              <w:t xml:space="preserve"> </w:t>
            </w:r>
            <w:r w:rsidRPr="00046ADF">
              <w:rPr>
                <w:b/>
                <w:bCs/>
                <w:lang w:val="pt-PT"/>
              </w:rPr>
              <w:t>Mitigação de limitações</w:t>
            </w:r>
          </w:p>
        </w:tc>
      </w:tr>
      <w:tr w:rsidR="00C76757" w:rsidRPr="00891C6A" w14:paraId="7D871C13" w14:textId="77777777" w:rsidTr="00EF3DEA">
        <w:tc>
          <w:tcPr>
            <w:tcW w:w="4530" w:type="dxa"/>
            <w:gridSpan w:val="3"/>
          </w:tcPr>
          <w:p w14:paraId="78109EB1" w14:textId="77777777" w:rsidR="00C76757" w:rsidRPr="00046ADF" w:rsidRDefault="00C76757" w:rsidP="00EF3DEA">
            <w:pPr>
              <w:spacing w:after="0"/>
              <w:rPr>
                <w:lang w:val="pt-PT"/>
              </w:rPr>
            </w:pPr>
            <w:r w:rsidRPr="00046ADF">
              <w:rPr>
                <w:lang w:val="pt-PT"/>
              </w:rPr>
              <w:t>1. ICIC do FMI.</w:t>
            </w:r>
          </w:p>
          <w:p w14:paraId="30A4E0F7" w14:textId="77777777" w:rsidR="00C76757" w:rsidRPr="00046ADF" w:rsidRDefault="00C76757" w:rsidP="00EF3DEA">
            <w:pPr>
              <w:spacing w:after="0"/>
              <w:rPr>
                <w:lang w:val="pt-PT"/>
              </w:rPr>
            </w:pPr>
            <w:r w:rsidRPr="00046ADF">
              <w:rPr>
                <w:lang w:val="pt-PT"/>
              </w:rPr>
              <w:t>2. PII do FMI.</w:t>
            </w:r>
          </w:p>
          <w:p w14:paraId="40573687" w14:textId="77777777" w:rsidR="00C76757" w:rsidRPr="00046ADF" w:rsidRDefault="00C76757" w:rsidP="00EF3DEA">
            <w:pPr>
              <w:spacing w:after="0"/>
              <w:rPr>
                <w:lang w:val="pt-PT"/>
              </w:rPr>
            </w:pPr>
            <w:r w:rsidRPr="00046ADF">
              <w:rPr>
                <w:lang w:val="pt-PT"/>
              </w:rPr>
              <w:t>3. Banco de dados EWN.</w:t>
            </w:r>
          </w:p>
          <w:p w14:paraId="6CD3A7DD" w14:textId="77777777" w:rsidR="00C76757" w:rsidRPr="00046ADF" w:rsidRDefault="00C76757" w:rsidP="00EF3DEA">
            <w:pPr>
              <w:spacing w:after="0"/>
              <w:rPr>
                <w:lang w:val="pt-PT"/>
              </w:rPr>
            </w:pPr>
            <w:r w:rsidRPr="00046ADF">
              <w:rPr>
                <w:lang w:val="pt-PT"/>
              </w:rPr>
              <w:t>4. BIS.</w:t>
            </w:r>
          </w:p>
          <w:p w14:paraId="0EDBCCCA" w14:textId="77777777" w:rsidR="00C76757" w:rsidRPr="00046ADF" w:rsidRDefault="00C76757" w:rsidP="00EF3DEA">
            <w:pPr>
              <w:spacing w:after="0"/>
              <w:rPr>
                <w:lang w:val="pt-PT"/>
              </w:rPr>
            </w:pPr>
            <w:r w:rsidRPr="00046ADF">
              <w:rPr>
                <w:lang w:val="pt-PT"/>
              </w:rPr>
              <w:t xml:space="preserve">5. Banco Central da Suíça. </w:t>
            </w:r>
          </w:p>
        </w:tc>
        <w:tc>
          <w:tcPr>
            <w:tcW w:w="4532" w:type="dxa"/>
            <w:gridSpan w:val="3"/>
          </w:tcPr>
          <w:p w14:paraId="214C0C78" w14:textId="77777777" w:rsidR="00C76757" w:rsidRPr="00046ADF" w:rsidRDefault="00C76757" w:rsidP="00EF3DEA">
            <w:pPr>
              <w:spacing w:after="0"/>
              <w:rPr>
                <w:lang w:val="pt-PT"/>
              </w:rPr>
            </w:pPr>
            <w:r w:rsidRPr="00046ADF">
              <w:rPr>
                <w:lang w:val="pt-PT"/>
              </w:rPr>
              <w:t>Dados detalhados e adicionais por países, incluindo troca de dados em ambiente estatístico seguro.</w:t>
            </w:r>
          </w:p>
        </w:tc>
      </w:tr>
      <w:tr w:rsidR="00C76757" w:rsidRPr="00046ADF" w14:paraId="7CE66D42" w14:textId="77777777" w:rsidTr="00EF3DEA">
        <w:tc>
          <w:tcPr>
            <w:tcW w:w="9062" w:type="dxa"/>
            <w:gridSpan w:val="6"/>
            <w:shd w:val="clear" w:color="auto" w:fill="DEEAF6" w:themeFill="accent5" w:themeFillTint="33"/>
          </w:tcPr>
          <w:p w14:paraId="434D05DB" w14:textId="77777777" w:rsidR="00C76757" w:rsidRPr="00046ADF" w:rsidRDefault="00C76757" w:rsidP="00EF3DEA">
            <w:pPr>
              <w:spacing w:after="0"/>
              <w:rPr>
                <w:lang w:val="pt-PT"/>
              </w:rPr>
            </w:pPr>
            <w:r w:rsidRPr="00046ADF">
              <w:rPr>
                <w:noProof/>
                <w:lang w:val="pt-PT"/>
              </w:rPr>
              <w:drawing>
                <wp:inline distT="0" distB="0" distL="0" distR="0" wp14:anchorId="6AEF5226" wp14:editId="7A2F6D65">
                  <wp:extent cx="288000" cy="288000"/>
                  <wp:effectExtent l="0" t="0" r="0" b="0"/>
                  <wp:docPr id="200" name="Graphic 200"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0"/>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Cá</w:t>
            </w:r>
            <w:r>
              <w:rPr>
                <w:b/>
                <w:bCs/>
                <w:lang w:val="pt-PT"/>
              </w:rPr>
              <w:t>lcu</w:t>
            </w:r>
            <w:r w:rsidRPr="00046ADF">
              <w:rPr>
                <w:b/>
                <w:bCs/>
                <w:lang w:val="pt-PT"/>
              </w:rPr>
              <w:t>lo</w:t>
            </w:r>
          </w:p>
        </w:tc>
      </w:tr>
      <w:tr w:rsidR="00C76757" w:rsidRPr="00891C6A" w14:paraId="6E066F01" w14:textId="77777777" w:rsidTr="00EF3DEA">
        <w:tc>
          <w:tcPr>
            <w:tcW w:w="9062" w:type="dxa"/>
            <w:gridSpan w:val="6"/>
          </w:tcPr>
          <w:p w14:paraId="2EFA80DA" w14:textId="77777777" w:rsidR="00C76757" w:rsidRPr="00046ADF" w:rsidRDefault="00C76757" w:rsidP="00EF3DEA">
            <w:pPr>
              <w:spacing w:after="0"/>
              <w:rPr>
                <w:lang w:val="pt-PT"/>
              </w:rPr>
            </w:pPr>
            <w:r w:rsidRPr="00046ADF">
              <w:rPr>
                <w:lang w:val="pt-PT"/>
              </w:rPr>
              <w:t>1. Estime a riqueza financeira offshore global, como a soma da riqueza do portfólio offshore global e dos depósitos offshore.</w:t>
            </w:r>
          </w:p>
          <w:p w14:paraId="5B2DF90B" w14:textId="77777777" w:rsidR="00C76757" w:rsidRPr="00046ADF" w:rsidRDefault="00C76757" w:rsidP="00EF3DEA">
            <w:pPr>
              <w:spacing w:after="0"/>
              <w:rPr>
                <w:lang w:val="pt-PT"/>
              </w:rPr>
            </w:pPr>
            <w:r w:rsidRPr="00046ADF">
              <w:rPr>
                <w:lang w:val="pt-PT"/>
              </w:rPr>
              <w:t>2. A riqueza financeira offshore global é dividida por país de propriedade e pela IFC.</w:t>
            </w:r>
          </w:p>
          <w:p w14:paraId="0DB810A3" w14:textId="77777777" w:rsidR="00C76757" w:rsidRPr="00046ADF" w:rsidRDefault="00C76757" w:rsidP="00EF3DEA">
            <w:pPr>
              <w:spacing w:after="0"/>
              <w:rPr>
                <w:lang w:val="pt-PT"/>
              </w:rPr>
            </w:pPr>
            <w:r w:rsidRPr="00046ADF">
              <w:rPr>
                <w:lang w:val="pt-PT"/>
              </w:rPr>
              <w:t>3. Aplicar uma taxa de não conformidade de 75 por cento à riqueza offshore detida por indivíduos para obter riqueza offshore não declarada.</w:t>
            </w:r>
          </w:p>
          <w:p w14:paraId="6962F76F" w14:textId="77777777" w:rsidR="00C76757" w:rsidRPr="00046ADF" w:rsidRDefault="00C76757" w:rsidP="00EF3DEA">
            <w:pPr>
              <w:spacing w:after="0"/>
              <w:rPr>
                <w:lang w:val="pt-PT"/>
              </w:rPr>
            </w:pPr>
            <w:r w:rsidRPr="00046ADF">
              <w:rPr>
                <w:lang w:val="pt-PT"/>
              </w:rPr>
              <w:t>4. Estime fluxos de medidas de estoque.</w:t>
            </w:r>
          </w:p>
          <w:p w14:paraId="14BB3C56" w14:textId="77777777" w:rsidR="00C76757" w:rsidRPr="00046ADF" w:rsidRDefault="00C76757" w:rsidP="00EF3DEA">
            <w:pPr>
              <w:spacing w:after="0"/>
              <w:rPr>
                <w:lang w:val="pt-PT"/>
              </w:rPr>
            </w:pPr>
            <w:r w:rsidRPr="00046ADF">
              <w:rPr>
                <w:lang w:val="pt-PT"/>
              </w:rPr>
              <w:t>5. Estimar fluxos de saída de FFI.</w:t>
            </w:r>
          </w:p>
        </w:tc>
      </w:tr>
      <w:tr w:rsidR="00C76757" w:rsidRPr="00046ADF" w14:paraId="541DBD8F" w14:textId="77777777" w:rsidTr="00EF3DEA">
        <w:tc>
          <w:tcPr>
            <w:tcW w:w="9062" w:type="dxa"/>
            <w:gridSpan w:val="6"/>
            <w:shd w:val="clear" w:color="auto" w:fill="DEEAF6" w:themeFill="accent5" w:themeFillTint="33"/>
          </w:tcPr>
          <w:p w14:paraId="07DD694F" w14:textId="77777777" w:rsidR="00C76757" w:rsidRPr="00046ADF" w:rsidRDefault="00C76757" w:rsidP="00EF3DEA">
            <w:pPr>
              <w:spacing w:after="0"/>
              <w:rPr>
                <w:lang w:val="pt-PT"/>
              </w:rPr>
            </w:pPr>
            <w:r w:rsidRPr="00046ADF">
              <w:rPr>
                <w:noProof/>
                <w:lang w:val="pt-PT"/>
              </w:rPr>
              <w:drawing>
                <wp:inline distT="0" distB="0" distL="0" distR="0" wp14:anchorId="0884A39F" wp14:editId="6385BBD7">
                  <wp:extent cx="288000" cy="288000"/>
                  <wp:effectExtent l="0" t="0" r="0" b="0"/>
                  <wp:docPr id="201" name="Graphic 201"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Resultados</w:t>
            </w:r>
          </w:p>
        </w:tc>
      </w:tr>
      <w:tr w:rsidR="00C76757" w:rsidRPr="00046ADF" w14:paraId="13D9BB37" w14:textId="77777777" w:rsidTr="00EF3DEA">
        <w:tc>
          <w:tcPr>
            <w:tcW w:w="9062" w:type="dxa"/>
            <w:gridSpan w:val="6"/>
          </w:tcPr>
          <w:p w14:paraId="13FE0A31" w14:textId="77777777" w:rsidR="00C76757" w:rsidRPr="00046ADF" w:rsidRDefault="00C76757" w:rsidP="00EF3DEA">
            <w:pPr>
              <w:spacing w:after="0"/>
              <w:rPr>
                <w:lang w:val="pt-PT"/>
              </w:rPr>
            </w:pPr>
            <w:r w:rsidRPr="00046ADF">
              <w:rPr>
                <w:lang w:val="pt-PT"/>
              </w:rPr>
              <w:t>Os resultados são apresentados para uma economia total em um nível anual: apen</w:t>
            </w:r>
            <w:r>
              <w:rPr>
                <w:lang w:val="pt-PT"/>
              </w:rPr>
              <w:t>a</w:t>
            </w:r>
            <w:r w:rsidRPr="00046ADF">
              <w:rPr>
                <w:lang w:val="pt-PT"/>
              </w:rPr>
              <w:t>s FFI externos.</w:t>
            </w:r>
          </w:p>
        </w:tc>
      </w:tr>
      <w:tr w:rsidR="00C76757" w:rsidRPr="00046ADF" w14:paraId="6ACCF448" w14:textId="77777777" w:rsidTr="00EF3DEA">
        <w:tc>
          <w:tcPr>
            <w:tcW w:w="9062" w:type="dxa"/>
            <w:gridSpan w:val="6"/>
            <w:shd w:val="clear" w:color="auto" w:fill="DEEAF6" w:themeFill="accent5" w:themeFillTint="33"/>
          </w:tcPr>
          <w:p w14:paraId="22EFF66A" w14:textId="77777777" w:rsidR="00C76757" w:rsidRPr="00046ADF" w:rsidRDefault="00C76757" w:rsidP="00EF3DEA">
            <w:pPr>
              <w:spacing w:after="0"/>
              <w:rPr>
                <w:lang w:val="pt-PT"/>
              </w:rPr>
            </w:pPr>
            <w:r w:rsidRPr="00046ADF">
              <w:rPr>
                <w:noProof/>
                <w:lang w:val="pt-PT"/>
              </w:rPr>
              <w:drawing>
                <wp:inline distT="0" distB="0" distL="0" distR="0" wp14:anchorId="1C83FFF9" wp14:editId="0EFFB745">
                  <wp:extent cx="288000" cy="288000"/>
                  <wp:effectExtent l="0" t="0" r="0" b="0"/>
                  <wp:docPr id="202" name="Graphic 202" descr="High volt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2"/>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Notas especiais)</w:t>
            </w:r>
          </w:p>
        </w:tc>
      </w:tr>
      <w:tr w:rsidR="00C76757" w:rsidRPr="00891C6A" w14:paraId="2EFED172" w14:textId="77777777" w:rsidTr="00EF3DEA">
        <w:tc>
          <w:tcPr>
            <w:tcW w:w="9062" w:type="dxa"/>
            <w:gridSpan w:val="6"/>
          </w:tcPr>
          <w:p w14:paraId="53C45BB3" w14:textId="77777777" w:rsidR="00C76757" w:rsidRPr="00046ADF" w:rsidRDefault="00C76757" w:rsidP="00EF3DEA">
            <w:pPr>
              <w:spacing w:after="0"/>
              <w:rPr>
                <w:lang w:val="pt-PT"/>
              </w:rPr>
            </w:pPr>
            <w:r w:rsidRPr="00046ADF">
              <w:rPr>
                <w:lang w:val="pt-PT"/>
              </w:rPr>
              <w:t>As saídas são obtidas apenas usando suposições e se as circunstâncias forem adequadas. A determinação de influxos de FFI usando este método não está prontamente disponível.</w:t>
            </w:r>
          </w:p>
        </w:tc>
      </w:tr>
      <w:tr w:rsidR="00C76757" w:rsidRPr="00046ADF" w14:paraId="5C6214B0" w14:textId="77777777" w:rsidTr="00EF3DEA">
        <w:tc>
          <w:tcPr>
            <w:tcW w:w="9062" w:type="dxa"/>
            <w:gridSpan w:val="6"/>
            <w:shd w:val="clear" w:color="auto" w:fill="DEEAF6" w:themeFill="accent5" w:themeFillTint="33"/>
          </w:tcPr>
          <w:p w14:paraId="00B5E014" w14:textId="77777777" w:rsidR="00C76757" w:rsidRPr="00046ADF" w:rsidRDefault="00C76757" w:rsidP="00EF3DEA">
            <w:pPr>
              <w:spacing w:after="0"/>
              <w:rPr>
                <w:lang w:val="pt-PT"/>
              </w:rPr>
            </w:pPr>
            <w:r w:rsidRPr="00046ADF">
              <w:rPr>
                <w:noProof/>
                <w:lang w:val="pt-PT"/>
              </w:rPr>
              <w:drawing>
                <wp:inline distT="0" distB="0" distL="0" distR="0" wp14:anchorId="0326944F" wp14:editId="7A143DB0">
                  <wp:extent cx="288000" cy="288000"/>
                  <wp:effectExtent l="0" t="0" r="0" b="0"/>
                  <wp:docPr id="203" name="Graphic 20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3"/>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r w:rsidRPr="00046ADF">
              <w:rPr>
                <w:b/>
                <w:bCs/>
                <w:lang w:val="pt-PT"/>
              </w:rPr>
              <w:t xml:space="preserve"> Estudos de caso</w:t>
            </w:r>
          </w:p>
        </w:tc>
      </w:tr>
      <w:tr w:rsidR="00C76757" w:rsidRPr="00046ADF" w14:paraId="74CDFACB" w14:textId="77777777" w:rsidTr="00EF3DEA">
        <w:tc>
          <w:tcPr>
            <w:tcW w:w="9062" w:type="dxa"/>
            <w:gridSpan w:val="6"/>
          </w:tcPr>
          <w:p w14:paraId="39C09156" w14:textId="77777777" w:rsidR="00C76757" w:rsidRPr="00046ADF" w:rsidRDefault="00C76757" w:rsidP="00EF3DEA">
            <w:pPr>
              <w:spacing w:after="0"/>
              <w:rPr>
                <w:lang w:val="pt-PT"/>
              </w:rPr>
            </w:pPr>
            <w:r w:rsidRPr="00046ADF">
              <w:rPr>
                <w:lang w:val="pt-PT"/>
              </w:rPr>
              <w:t>1. Identificação de activos ocultos na Balança de Pagamentos do Banco da França (Gervais e Quang, 2018).</w:t>
            </w:r>
          </w:p>
          <w:p w14:paraId="2B9456AD" w14:textId="77777777" w:rsidR="00C76757" w:rsidRPr="00046ADF" w:rsidRDefault="00C76757" w:rsidP="00EF3DEA">
            <w:pPr>
              <w:spacing w:after="0"/>
              <w:rPr>
                <w:lang w:val="pt-PT"/>
              </w:rPr>
            </w:pPr>
            <w:r w:rsidRPr="00046ADF">
              <w:rPr>
                <w:lang w:val="pt-PT"/>
              </w:rPr>
              <w:t xml:space="preserve">2. Evasão fiscal internacional sobre a receita original (Comissão Europeia, 2019). </w:t>
            </w:r>
          </w:p>
        </w:tc>
      </w:tr>
    </w:tbl>
    <w:p w14:paraId="1D1B36AF" w14:textId="77777777" w:rsidR="00C76757" w:rsidRPr="00046ADF" w:rsidRDefault="00C76757" w:rsidP="00C76757">
      <w:pPr>
        <w:rPr>
          <w:lang w:val="pt-PT"/>
        </w:rPr>
      </w:pPr>
    </w:p>
    <w:p w14:paraId="380D91A5" w14:textId="77777777" w:rsidR="00C76757" w:rsidRPr="00046ADF" w:rsidRDefault="00C76757" w:rsidP="00C76757">
      <w:pPr>
        <w:rPr>
          <w:lang w:val="pt-PT"/>
        </w:rPr>
      </w:pPr>
    </w:p>
    <w:p w14:paraId="40153CA0" w14:textId="77777777" w:rsidR="00890B84" w:rsidRDefault="00000000"/>
    <w:sectPr w:rsidR="00890B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DDB"/>
    <w:multiLevelType w:val="hybridMultilevel"/>
    <w:tmpl w:val="5D7E217A"/>
    <w:lvl w:ilvl="0" w:tplc="0FC2FF9A">
      <w:start w:val="5"/>
      <w:numFmt w:val="upperLetter"/>
      <w:lvlText w:val="%1."/>
      <w:lvlJc w:val="left"/>
      <w:pPr>
        <w:ind w:left="720" w:hanging="360"/>
      </w:pPr>
      <w:rPr>
        <w:rFonts w:asciiTheme="majorHAnsi" w:eastAsiaTheme="majorEastAsia" w:hAnsiTheme="majorHAnsi" w:cstheme="majorBidi" w:hint="default"/>
        <w:color w:val="2F5496"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905BF"/>
    <w:multiLevelType w:val="hybridMultilevel"/>
    <w:tmpl w:val="9698C00E"/>
    <w:lvl w:ilvl="0" w:tplc="DA826C60">
      <w:start w:val="1"/>
      <w:numFmt w:val="upperLetter"/>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87657647">
    <w:abstractNumId w:val="1"/>
  </w:num>
  <w:num w:numId="2" w16cid:durableId="3797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7"/>
    <w:rsid w:val="00305EC9"/>
    <w:rsid w:val="006650B4"/>
    <w:rsid w:val="007A1941"/>
    <w:rsid w:val="00886707"/>
    <w:rsid w:val="00891C6A"/>
    <w:rsid w:val="00B12B32"/>
    <w:rsid w:val="00C76757"/>
    <w:rsid w:val="00CB2A91"/>
    <w:rsid w:val="00CB4DAA"/>
    <w:rsid w:val="00D06ED0"/>
    <w:rsid w:val="00D95FDA"/>
    <w:rsid w:val="00F1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975E"/>
  <w15:chartTrackingRefBased/>
  <w15:docId w15:val="{E770002E-FF43-419A-A430-C9106AC3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57"/>
    <w:rPr>
      <w:lang w:val="en-GB"/>
    </w:rPr>
  </w:style>
  <w:style w:type="paragraph" w:styleId="Heading1">
    <w:name w:val="heading 1"/>
    <w:basedOn w:val="Normal"/>
    <w:next w:val="Normal"/>
    <w:link w:val="Heading1Char"/>
    <w:uiPriority w:val="9"/>
    <w:qFormat/>
    <w:rsid w:val="00C76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57"/>
    <w:rPr>
      <w:rFonts w:asciiTheme="majorHAnsi" w:eastAsiaTheme="majorEastAsia" w:hAnsiTheme="majorHAnsi" w:cstheme="majorBidi"/>
      <w:color w:val="2F5496" w:themeColor="accent1" w:themeShade="BF"/>
      <w:sz w:val="32"/>
      <w:szCs w:val="32"/>
      <w:lang w:val="en-GB"/>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C76757"/>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C767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6" ma:contentTypeDescription="Create a new document." ma:contentTypeScope="" ma:versionID="7b73106de3451e69fa603f1d59d144f8">
  <xsd:schema xmlns:xsd="http://www.w3.org/2001/XMLSchema" xmlns:xs="http://www.w3.org/2001/XMLSchema" xmlns:p="http://schemas.microsoft.com/office/2006/metadata/properties" xmlns:ns2="13ef3714-6ce0-4e34-9185-aca0df8dd2bd" xmlns:ns3="068b94d1-f089-4c47-abb6-20f20898a544" xmlns:ns4="985ec44e-1bab-4c0b-9df0-6ba128686fc9" targetNamespace="http://schemas.microsoft.com/office/2006/metadata/properties" ma:root="true" ma:fieldsID="6592b51fd091c1c6f49ad9aba99faf72" ns2:_="" ns3:_="" ns4:_="">
    <xsd:import namespace="13ef3714-6ce0-4e34-9185-aca0df8dd2bd"/>
    <xsd:import namespace="068b94d1-f089-4c47-abb6-20f20898a54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c5b3346-aa51-4025-add1-13f2d7ee623c}" ma:internalName="TaxCatchAll" ma:showField="CatchAllData" ma:web="068b94d1-f089-4c47-abb6-20f20898a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BD17E-127C-4270-B048-EEC104952867}">
  <ds:schemaRefs>
    <ds:schemaRef ds:uri="http://schemas.microsoft.com/sharepoint/v3/contenttype/forms"/>
  </ds:schemaRefs>
</ds:datastoreItem>
</file>

<file path=customXml/itemProps2.xml><?xml version="1.0" encoding="utf-8"?>
<ds:datastoreItem xmlns:ds="http://schemas.openxmlformats.org/officeDocument/2006/customXml" ds:itemID="{EB810699-38AC-4257-AF39-5EF983B69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2793</Words>
  <Characters>15922</Characters>
  <Application>Microsoft Office Word</Application>
  <DocSecurity>0</DocSecurity>
  <Lines>132</Lines>
  <Paragraphs>37</Paragraphs>
  <ScaleCrop>false</ScaleCrop>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9</cp:revision>
  <dcterms:created xsi:type="dcterms:W3CDTF">2022-03-11T11:56:00Z</dcterms:created>
  <dcterms:modified xsi:type="dcterms:W3CDTF">2022-10-11T16:16:00Z</dcterms:modified>
</cp:coreProperties>
</file>